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7F07" w14:textId="0B0E9B9A" w:rsidR="002D0790" w:rsidRDefault="0023462A" w:rsidP="00C916E3">
      <w:pPr>
        <w:tabs>
          <w:tab w:val="left" w:pos="7500"/>
        </w:tabs>
      </w:pPr>
      <w:r w:rsidRPr="0023462A">
        <w:rPr>
          <w:noProof/>
        </w:rPr>
        <w:drawing>
          <wp:anchor distT="0" distB="0" distL="114300" distR="114300" simplePos="0" relativeHeight="251658240" behindDoc="0" locked="0" layoutInCell="1" allowOverlap="1" wp14:anchorId="6663E54D" wp14:editId="55722D4C">
            <wp:simplePos x="0" y="0"/>
            <wp:positionH relativeFrom="column">
              <wp:posOffset>0</wp:posOffset>
            </wp:positionH>
            <wp:positionV relativeFrom="paragraph">
              <wp:posOffset>9563</wp:posOffset>
            </wp:positionV>
            <wp:extent cx="2682557" cy="323850"/>
            <wp:effectExtent l="0" t="0" r="3810" b="0"/>
            <wp:wrapNone/>
            <wp:docPr id="28" name="Picture 27" descr="A picture containing drawing&#10;&#10;Description automatically generated">
              <a:extLst xmlns:a="http://schemas.openxmlformats.org/drawingml/2006/main">
                <a:ext uri="{FF2B5EF4-FFF2-40B4-BE49-F238E27FC236}">
                  <a16:creationId xmlns:a16="http://schemas.microsoft.com/office/drawing/2014/main" id="{920DA300-E7E2-4F24-9A27-1F3CEF004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picture containing drawing&#10;&#10;Description automatically generated">
                      <a:extLst>
                        <a:ext uri="{FF2B5EF4-FFF2-40B4-BE49-F238E27FC236}">
                          <a16:creationId xmlns:a16="http://schemas.microsoft.com/office/drawing/2014/main" id="{920DA300-E7E2-4F24-9A27-1F3CEF004D7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82557" cy="323850"/>
                    </a:xfrm>
                    <a:prstGeom prst="rect">
                      <a:avLst/>
                    </a:prstGeom>
                  </pic:spPr>
                </pic:pic>
              </a:graphicData>
            </a:graphic>
            <wp14:sizeRelH relativeFrom="margin">
              <wp14:pctWidth>0</wp14:pctWidth>
            </wp14:sizeRelH>
            <wp14:sizeRelV relativeFrom="margin">
              <wp14:pctHeight>0</wp14:pctHeight>
            </wp14:sizeRelV>
          </wp:anchor>
        </w:drawing>
      </w:r>
      <w:r w:rsidR="00C916E3">
        <w:tab/>
      </w:r>
    </w:p>
    <w:p w14:paraId="7FAAB906" w14:textId="77777777" w:rsidR="0023462A" w:rsidRPr="0023462A" w:rsidRDefault="0023462A" w:rsidP="007943C3">
      <w:pPr>
        <w:pStyle w:val="Heading1"/>
        <w:rPr>
          <w:sz w:val="20"/>
          <w:szCs w:val="12"/>
        </w:rPr>
      </w:pPr>
    </w:p>
    <w:p w14:paraId="6D45C990" w14:textId="3365ACDC" w:rsidR="0C174E99" w:rsidRDefault="0C174E99" w:rsidP="007943C3">
      <w:pPr>
        <w:spacing w:after="0" w:line="240" w:lineRule="auto"/>
        <w:rPr>
          <w:rFonts w:ascii="Calibri" w:eastAsia="Calibri" w:hAnsi="Calibri" w:cs="Calibri"/>
          <w:b/>
          <w:bCs/>
          <w:noProof/>
          <w:sz w:val="48"/>
          <w:szCs w:val="48"/>
        </w:rPr>
      </w:pPr>
      <w:r w:rsidRPr="656C1D02">
        <w:rPr>
          <w:rFonts w:ascii="Calibri" w:eastAsia="Calibri" w:hAnsi="Calibri" w:cs="Calibri"/>
          <w:b/>
          <w:bCs/>
          <w:noProof/>
          <w:sz w:val="48"/>
          <w:szCs w:val="48"/>
        </w:rPr>
        <w:t xml:space="preserve">H.R. 133 </w:t>
      </w:r>
    </w:p>
    <w:p w14:paraId="004E65C8" w14:textId="78AA1640" w:rsidR="0C174E99" w:rsidRDefault="0083597E" w:rsidP="007943C3">
      <w:pPr>
        <w:spacing w:after="120" w:line="257" w:lineRule="auto"/>
        <w:rPr>
          <w:rFonts w:ascii="Calibri" w:eastAsia="Calibri" w:hAnsi="Calibri" w:cs="Calibri"/>
          <w:b/>
          <w:bCs/>
          <w:i/>
          <w:iCs/>
          <w:noProof/>
          <w:sz w:val="48"/>
          <w:szCs w:val="48"/>
        </w:rPr>
      </w:pPr>
      <w:r>
        <w:rPr>
          <w:rFonts w:ascii="Calibri" w:eastAsia="Calibri" w:hAnsi="Calibri" w:cs="Calibri"/>
          <w:b/>
          <w:bCs/>
          <w:i/>
          <w:iCs/>
          <w:noProof/>
          <w:sz w:val="48"/>
          <w:szCs w:val="48"/>
        </w:rPr>
        <w:t xml:space="preserve">Select </w:t>
      </w:r>
      <w:r w:rsidR="0C174E99" w:rsidRPr="656C1D02">
        <w:rPr>
          <w:rFonts w:ascii="Calibri" w:eastAsia="Calibri" w:hAnsi="Calibri" w:cs="Calibri"/>
          <w:b/>
          <w:bCs/>
          <w:i/>
          <w:iCs/>
          <w:noProof/>
          <w:sz w:val="48"/>
          <w:szCs w:val="48"/>
        </w:rPr>
        <w:t xml:space="preserve">Health Care </w:t>
      </w:r>
      <w:r w:rsidRPr="656C1D02">
        <w:rPr>
          <w:rFonts w:ascii="Calibri" w:eastAsia="Calibri" w:hAnsi="Calibri" w:cs="Calibri"/>
          <w:b/>
          <w:bCs/>
          <w:i/>
          <w:iCs/>
          <w:noProof/>
          <w:sz w:val="48"/>
          <w:szCs w:val="48"/>
        </w:rPr>
        <w:t>Provisions</w:t>
      </w:r>
    </w:p>
    <w:p w14:paraId="58FAAA79" w14:textId="23362456" w:rsidR="00A37E4E" w:rsidRPr="00F45E64" w:rsidRDefault="00A37E4E" w:rsidP="00F45E64">
      <w:pPr>
        <w:pStyle w:val="Default"/>
        <w:shd w:val="clear" w:color="auto" w:fill="C7E2FA" w:themeFill="accent1" w:themeFillTint="33"/>
        <w:spacing w:line="288" w:lineRule="auto"/>
        <w:jc w:val="both"/>
        <w:rPr>
          <w:rFonts w:asciiTheme="majorHAnsi" w:hAnsiTheme="majorHAnsi" w:cstheme="majorHAnsi"/>
          <w:sz w:val="22"/>
          <w:szCs w:val="22"/>
        </w:rPr>
      </w:pPr>
      <w:r w:rsidRPr="00F45E64">
        <w:rPr>
          <w:rFonts w:asciiTheme="majorHAnsi" w:hAnsiTheme="majorHAnsi" w:cstheme="majorHAnsi"/>
          <w:b/>
          <w:bCs/>
          <w:sz w:val="22"/>
          <w:szCs w:val="22"/>
          <w:u w:val="single"/>
        </w:rPr>
        <w:t>Highlights</w:t>
      </w:r>
      <w:r w:rsidRPr="00F45E64">
        <w:rPr>
          <w:rFonts w:asciiTheme="majorHAnsi" w:hAnsiTheme="majorHAnsi" w:cstheme="majorHAnsi"/>
          <w:sz w:val="22"/>
          <w:szCs w:val="22"/>
        </w:rPr>
        <w:t>: This omnibus bill funds the federal government</w:t>
      </w:r>
      <w:r w:rsidR="006D439A" w:rsidRPr="00F45E64">
        <w:rPr>
          <w:rFonts w:asciiTheme="majorHAnsi" w:hAnsiTheme="majorHAnsi" w:cstheme="majorHAnsi"/>
          <w:sz w:val="22"/>
          <w:szCs w:val="22"/>
        </w:rPr>
        <w:t xml:space="preserve"> at $1.4 </w:t>
      </w:r>
      <w:r w:rsidR="007B3DD4">
        <w:rPr>
          <w:rFonts w:asciiTheme="majorHAnsi" w:hAnsiTheme="majorHAnsi" w:cstheme="majorHAnsi"/>
          <w:sz w:val="22"/>
          <w:szCs w:val="22"/>
        </w:rPr>
        <w:t>t</w:t>
      </w:r>
      <w:r w:rsidR="00324CA0">
        <w:rPr>
          <w:rFonts w:asciiTheme="majorHAnsi" w:hAnsiTheme="majorHAnsi" w:cstheme="majorHAnsi"/>
          <w:sz w:val="22"/>
          <w:szCs w:val="22"/>
        </w:rPr>
        <w:t>r</w:t>
      </w:r>
      <w:r w:rsidR="006D439A" w:rsidRPr="00F45E64">
        <w:rPr>
          <w:rFonts w:asciiTheme="majorHAnsi" w:hAnsiTheme="majorHAnsi" w:cstheme="majorHAnsi"/>
          <w:sz w:val="22"/>
          <w:szCs w:val="22"/>
        </w:rPr>
        <w:t>illion</w:t>
      </w:r>
      <w:r w:rsidRPr="00F45E64">
        <w:rPr>
          <w:rFonts w:asciiTheme="majorHAnsi" w:hAnsiTheme="majorHAnsi" w:cstheme="majorHAnsi"/>
          <w:sz w:val="22"/>
          <w:szCs w:val="22"/>
        </w:rPr>
        <w:t xml:space="preserve"> through the end the current fiscal year (September 30, 2021) and includes COVID-19 relief and other health policy provisions</w:t>
      </w:r>
      <w:r w:rsidR="006D439A" w:rsidRPr="00F45E64">
        <w:rPr>
          <w:rFonts w:asciiTheme="majorHAnsi" w:hAnsiTheme="majorHAnsi" w:cstheme="majorHAnsi"/>
          <w:sz w:val="22"/>
          <w:szCs w:val="22"/>
        </w:rPr>
        <w:t xml:space="preserve"> totaling another $900 billion</w:t>
      </w:r>
      <w:r w:rsidRPr="00F45E64">
        <w:rPr>
          <w:rFonts w:asciiTheme="majorHAnsi" w:hAnsiTheme="majorHAnsi" w:cstheme="majorHAnsi"/>
          <w:sz w:val="22"/>
          <w:szCs w:val="22"/>
        </w:rPr>
        <w:t xml:space="preserve">. Highlights include: an additional $3 billion in Provider Relief Funding (PRF) plus changes to the terms and conditions; a freeze on the MACRA Advanced APM thresholds; a prohibition on surprise billing; adjustments to several Medicare payment policies, including payments for physician services; provider and plan transparency related requirements; and an extension of expiring healthcare programs for three years. </w:t>
      </w:r>
    </w:p>
    <w:p w14:paraId="236ABEC6" w14:textId="77777777" w:rsidR="00A37E4E" w:rsidRPr="00395689" w:rsidRDefault="00A37E4E" w:rsidP="00395689">
      <w:pPr>
        <w:pStyle w:val="Default"/>
        <w:shd w:val="clear" w:color="auto" w:fill="C7E2FA" w:themeFill="accent1" w:themeFillTint="33"/>
        <w:jc w:val="both"/>
        <w:rPr>
          <w:rFonts w:asciiTheme="majorHAnsi" w:hAnsiTheme="majorHAnsi" w:cstheme="majorHAnsi"/>
          <w:sz w:val="16"/>
          <w:szCs w:val="16"/>
        </w:rPr>
      </w:pPr>
    </w:p>
    <w:p w14:paraId="65A7409D" w14:textId="18EB9889" w:rsidR="00A37E4E" w:rsidRPr="00F45E64" w:rsidRDefault="00A37E4E" w:rsidP="00F45E64">
      <w:pPr>
        <w:pStyle w:val="Default"/>
        <w:shd w:val="clear" w:color="auto" w:fill="C7E2FA" w:themeFill="accent1" w:themeFillTint="33"/>
        <w:spacing w:line="288" w:lineRule="auto"/>
        <w:jc w:val="both"/>
        <w:rPr>
          <w:rFonts w:asciiTheme="majorHAnsi" w:hAnsiTheme="majorHAnsi" w:cstheme="majorHAnsi"/>
          <w:sz w:val="22"/>
          <w:szCs w:val="22"/>
        </w:rPr>
      </w:pPr>
      <w:r w:rsidRPr="00F45E64">
        <w:rPr>
          <w:rFonts w:asciiTheme="majorHAnsi" w:hAnsiTheme="majorHAnsi" w:cstheme="majorHAnsi"/>
          <w:b/>
          <w:bCs/>
          <w:sz w:val="22"/>
          <w:szCs w:val="22"/>
          <w:u w:val="single"/>
        </w:rPr>
        <w:t>Missing in Action</w:t>
      </w:r>
      <w:r w:rsidRPr="00F45E64">
        <w:rPr>
          <w:rFonts w:asciiTheme="majorHAnsi" w:hAnsiTheme="majorHAnsi" w:cstheme="majorHAnsi"/>
          <w:sz w:val="22"/>
          <w:szCs w:val="22"/>
        </w:rPr>
        <w:t xml:space="preserve">: Some proposals were victims of the negotiations and have been removed or reduced in HR 133. The PRF amount was reduced from $35 billion, telehealth waiver authorities were not extended, additional state and local financial aid are absent, and FMAP was not increased. </w:t>
      </w:r>
    </w:p>
    <w:p w14:paraId="6C2A5586" w14:textId="77C5ABFA" w:rsidR="00A37E4E" w:rsidRDefault="00A37E4E" w:rsidP="0083597E">
      <w:pPr>
        <w:spacing w:after="0"/>
        <w:ind w:right="576"/>
        <w:rPr>
          <w:rFonts w:asciiTheme="majorHAnsi" w:hAnsiTheme="majorHAnsi" w:cstheme="majorHAnsi"/>
          <w:b/>
          <w:bCs/>
          <w:sz w:val="22"/>
          <w:szCs w:val="22"/>
        </w:rPr>
      </w:pPr>
    </w:p>
    <w:p w14:paraId="7563902D" w14:textId="77777777" w:rsidR="00536A01" w:rsidRPr="007B7657" w:rsidRDefault="00536A01" w:rsidP="0083597E">
      <w:pPr>
        <w:spacing w:after="0"/>
        <w:ind w:right="576"/>
        <w:rPr>
          <w:rFonts w:asciiTheme="majorHAnsi" w:hAnsiTheme="majorHAnsi" w:cstheme="majorHAnsi"/>
          <w:b/>
          <w:bCs/>
          <w:sz w:val="22"/>
          <w:szCs w:val="22"/>
        </w:rPr>
      </w:pPr>
    </w:p>
    <w:p w14:paraId="77C1C4AB" w14:textId="5CC07DDA" w:rsidR="316D9F2E" w:rsidRPr="00F45E64" w:rsidRDefault="0083597E" w:rsidP="00F45E64">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b/>
          <w:bCs/>
          <w:sz w:val="22"/>
          <w:szCs w:val="22"/>
        </w:rPr>
      </w:pPr>
      <w:r w:rsidRPr="007B7657">
        <w:rPr>
          <w:rFonts w:asciiTheme="majorHAnsi" w:hAnsiTheme="majorHAnsi" w:cstheme="majorHAnsi"/>
          <w:b/>
          <w:bCs/>
          <w:sz w:val="22"/>
          <w:szCs w:val="22"/>
        </w:rPr>
        <w:t>Provider Relief Fund</w:t>
      </w:r>
      <w:r w:rsidR="007B7657" w:rsidRPr="007B7657">
        <w:rPr>
          <w:rFonts w:asciiTheme="majorHAnsi" w:hAnsiTheme="majorHAnsi" w:cstheme="majorHAnsi"/>
          <w:b/>
          <w:bCs/>
          <w:sz w:val="22"/>
          <w:szCs w:val="22"/>
        </w:rPr>
        <w:t xml:space="preserve"> – </w:t>
      </w:r>
      <w:r w:rsidR="007B7657" w:rsidRPr="00F45E64">
        <w:rPr>
          <w:rFonts w:asciiTheme="majorHAnsi" w:hAnsiTheme="majorHAnsi" w:cstheme="majorHAnsi"/>
          <w:i/>
          <w:iCs/>
          <w:color w:val="FF0000"/>
          <w:sz w:val="22"/>
          <w:szCs w:val="22"/>
        </w:rPr>
        <w:t xml:space="preserve">UPH </w:t>
      </w:r>
      <w:r w:rsidR="005F1CFB">
        <w:rPr>
          <w:rFonts w:asciiTheme="majorHAnsi" w:hAnsiTheme="majorHAnsi" w:cstheme="majorHAnsi"/>
          <w:i/>
          <w:iCs/>
          <w:color w:val="FF0000"/>
          <w:sz w:val="22"/>
          <w:szCs w:val="22"/>
        </w:rPr>
        <w:t xml:space="preserve">and AHA </w:t>
      </w:r>
      <w:r w:rsidR="007B7657" w:rsidRPr="00F45E64">
        <w:rPr>
          <w:rFonts w:asciiTheme="majorHAnsi" w:hAnsiTheme="majorHAnsi" w:cstheme="majorHAnsi"/>
          <w:i/>
          <w:iCs/>
          <w:color w:val="FF0000"/>
          <w:sz w:val="22"/>
          <w:szCs w:val="22"/>
        </w:rPr>
        <w:t>advocacy positions</w:t>
      </w:r>
    </w:p>
    <w:p w14:paraId="662DA9B0" w14:textId="5ABDEAD9" w:rsidR="0083597E" w:rsidRPr="007B7657" w:rsidRDefault="0083597E"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7B7657">
        <w:rPr>
          <w:rFonts w:asciiTheme="majorHAnsi" w:hAnsiTheme="majorHAnsi" w:cstheme="majorHAnsi"/>
          <w:sz w:val="22"/>
          <w:szCs w:val="22"/>
        </w:rPr>
        <w:t>Additional $3 billion</w:t>
      </w:r>
      <w:bookmarkStart w:id="0" w:name="_GoBack"/>
      <w:bookmarkEnd w:id="0"/>
    </w:p>
    <w:p w14:paraId="42E77A26" w14:textId="3446E316" w:rsidR="0083597E" w:rsidRPr="007B7657" w:rsidRDefault="0083597E"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7B7657">
        <w:rPr>
          <w:rFonts w:asciiTheme="majorHAnsi" w:hAnsiTheme="majorHAnsi" w:cstheme="majorHAnsi"/>
          <w:sz w:val="22"/>
          <w:szCs w:val="22"/>
          <w:u w:val="single"/>
        </w:rPr>
        <w:t xml:space="preserve">Use </w:t>
      </w:r>
      <w:r w:rsidR="00383D01" w:rsidRPr="007B7657">
        <w:rPr>
          <w:rFonts w:asciiTheme="majorHAnsi" w:hAnsiTheme="majorHAnsi" w:cstheme="majorHAnsi"/>
          <w:sz w:val="22"/>
          <w:szCs w:val="22"/>
          <w:u w:val="single"/>
        </w:rPr>
        <w:t>Clarified</w:t>
      </w:r>
      <w:r w:rsidRPr="007B7657">
        <w:rPr>
          <w:rFonts w:asciiTheme="majorHAnsi" w:hAnsiTheme="majorHAnsi" w:cstheme="majorHAnsi"/>
          <w:sz w:val="22"/>
          <w:szCs w:val="22"/>
        </w:rPr>
        <w:t>: building or construction of temporary structures, leasing of properties, medical supplies and equipment including personal protective equipment and testing supplies, increased workforce and trainings, emergency operation centers, retrofitting facilities, and surge capacity</w:t>
      </w:r>
    </w:p>
    <w:p w14:paraId="4EC8DF66" w14:textId="1C9CDEB1" w:rsidR="0083597E" w:rsidRPr="007B7657" w:rsidRDefault="0083597E"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7B7657">
        <w:rPr>
          <w:rFonts w:asciiTheme="majorHAnsi" w:hAnsiTheme="majorHAnsi" w:cstheme="majorHAnsi"/>
          <w:sz w:val="22"/>
          <w:szCs w:val="22"/>
          <w:u w:val="single"/>
        </w:rPr>
        <w:t xml:space="preserve">Health </w:t>
      </w:r>
      <w:r w:rsidR="00383D01" w:rsidRPr="007B7657">
        <w:rPr>
          <w:rFonts w:asciiTheme="majorHAnsi" w:hAnsiTheme="majorHAnsi" w:cstheme="majorHAnsi"/>
          <w:sz w:val="22"/>
          <w:szCs w:val="22"/>
          <w:u w:val="single"/>
        </w:rPr>
        <w:t>System Flexibility</w:t>
      </w:r>
      <w:r w:rsidRPr="007B7657">
        <w:rPr>
          <w:rFonts w:asciiTheme="majorHAnsi" w:hAnsiTheme="majorHAnsi" w:cstheme="majorHAnsi"/>
          <w:sz w:val="22"/>
          <w:szCs w:val="22"/>
        </w:rPr>
        <w:t>: parent organization may allocate (through transfers or otherwise) all or any portion of such reimbursement among its subsidiaries, including ‘‘Targeted Distribution’’ payments, except reporting duties remain with the original recipient</w:t>
      </w:r>
    </w:p>
    <w:p w14:paraId="1707F14D" w14:textId="256BF1FD" w:rsidR="0083597E" w:rsidRDefault="00383D01"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7B7657">
        <w:rPr>
          <w:rFonts w:asciiTheme="majorHAnsi" w:hAnsiTheme="majorHAnsi" w:cstheme="majorHAnsi"/>
          <w:sz w:val="22"/>
          <w:szCs w:val="22"/>
          <w:u w:val="single"/>
        </w:rPr>
        <w:t>Lost Revenues Calculation</w:t>
      </w:r>
      <w:r w:rsidR="0083597E" w:rsidRPr="007B7657">
        <w:rPr>
          <w:rFonts w:asciiTheme="majorHAnsi" w:hAnsiTheme="majorHAnsi" w:cstheme="majorHAnsi"/>
          <w:sz w:val="22"/>
          <w:szCs w:val="22"/>
        </w:rPr>
        <w:t>: may use HHS FAQ guidance (June 2020), including the difference between such provider’s budgeted and actual revenue budget if budget established and approved prior to March 27, 2020</w:t>
      </w:r>
    </w:p>
    <w:p w14:paraId="028B67D0" w14:textId="77777777" w:rsidR="00F141BA" w:rsidRPr="007B7657" w:rsidRDefault="00F141BA" w:rsidP="00F141BA">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sz w:val="22"/>
          <w:szCs w:val="22"/>
        </w:rPr>
      </w:pPr>
      <w:r w:rsidRPr="007B7657">
        <w:rPr>
          <w:rFonts w:asciiTheme="majorHAnsi" w:hAnsiTheme="majorHAnsi" w:cstheme="majorHAnsi"/>
          <w:b/>
          <w:bCs/>
          <w:sz w:val="22"/>
          <w:szCs w:val="22"/>
        </w:rPr>
        <w:t xml:space="preserve">Coronavirus Relief Fund Extension – </w:t>
      </w:r>
      <w:r w:rsidRPr="007B7657">
        <w:rPr>
          <w:rFonts w:asciiTheme="majorHAnsi" w:hAnsiTheme="majorHAnsi" w:cstheme="majorHAnsi"/>
          <w:i/>
          <w:iCs/>
          <w:color w:val="FF0000"/>
          <w:sz w:val="22"/>
          <w:szCs w:val="22"/>
        </w:rPr>
        <w:t>UPH advocacy position</w:t>
      </w:r>
    </w:p>
    <w:p w14:paraId="391A379B" w14:textId="77777777" w:rsidR="00F141BA" w:rsidRPr="007B7657" w:rsidRDefault="00F141B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sidRPr="00FC2DFF">
        <w:rPr>
          <w:rFonts w:asciiTheme="majorHAnsi" w:eastAsiaTheme="minorEastAsia" w:hAnsiTheme="majorHAnsi" w:cstheme="majorHAnsi"/>
          <w:color w:val="auto"/>
          <w:sz w:val="22"/>
          <w:szCs w:val="22"/>
          <w:u w:val="single"/>
          <w:lang w:eastAsia="ja-JP"/>
        </w:rPr>
        <w:t>Extends the date</w:t>
      </w:r>
      <w:r w:rsidRPr="007B7657">
        <w:rPr>
          <w:rFonts w:asciiTheme="majorHAnsi" w:eastAsiaTheme="minorEastAsia" w:hAnsiTheme="majorHAnsi" w:cstheme="majorHAnsi"/>
          <w:color w:val="auto"/>
          <w:sz w:val="22"/>
          <w:szCs w:val="22"/>
          <w:lang w:eastAsia="ja-JP"/>
        </w:rPr>
        <w:t xml:space="preserve"> by which state and local governments must make expenditures with CARES Act Coronavirus Relief Fund awards from December 30, 2020 to December 31, 2021.</w:t>
      </w:r>
    </w:p>
    <w:p w14:paraId="3DD4131F" w14:textId="77777777" w:rsidR="00F141BA" w:rsidRDefault="00F141BA" w:rsidP="00F141BA">
      <w:pPr>
        <w:spacing w:after="0"/>
        <w:ind w:right="576"/>
        <w:rPr>
          <w:sz w:val="22"/>
          <w:szCs w:val="22"/>
        </w:rPr>
      </w:pPr>
    </w:p>
    <w:p w14:paraId="1DB1E98E" w14:textId="2AE6525E" w:rsidR="316D9F2E" w:rsidRPr="007B7657" w:rsidRDefault="00383D01" w:rsidP="00F45E64">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b/>
          <w:bCs/>
          <w:sz w:val="22"/>
          <w:szCs w:val="22"/>
        </w:rPr>
      </w:pPr>
      <w:r w:rsidRPr="007B7657">
        <w:rPr>
          <w:rFonts w:asciiTheme="majorHAnsi" w:hAnsiTheme="majorHAnsi" w:cstheme="majorHAnsi"/>
          <w:b/>
          <w:bCs/>
          <w:sz w:val="22"/>
          <w:szCs w:val="22"/>
        </w:rPr>
        <w:t>Additional</w:t>
      </w:r>
      <w:r w:rsidR="316D9F2E" w:rsidRPr="007B7657">
        <w:rPr>
          <w:rFonts w:asciiTheme="majorHAnsi" w:hAnsiTheme="majorHAnsi" w:cstheme="majorHAnsi"/>
          <w:b/>
          <w:bCs/>
          <w:sz w:val="22"/>
          <w:szCs w:val="22"/>
        </w:rPr>
        <w:t xml:space="preserve"> </w:t>
      </w:r>
      <w:r w:rsidR="007943C3">
        <w:rPr>
          <w:rFonts w:asciiTheme="majorHAnsi" w:hAnsiTheme="majorHAnsi" w:cstheme="majorHAnsi"/>
          <w:b/>
          <w:bCs/>
          <w:sz w:val="22"/>
          <w:szCs w:val="22"/>
        </w:rPr>
        <w:t>Medicare Provisions</w:t>
      </w:r>
      <w:r w:rsidR="007B7657" w:rsidRPr="007B7657">
        <w:rPr>
          <w:rFonts w:asciiTheme="majorHAnsi" w:hAnsiTheme="majorHAnsi" w:cstheme="majorHAnsi"/>
          <w:b/>
          <w:bCs/>
          <w:sz w:val="22"/>
          <w:szCs w:val="22"/>
        </w:rPr>
        <w:t xml:space="preserve"> </w:t>
      </w:r>
    </w:p>
    <w:p w14:paraId="0CC000D8" w14:textId="1E6C8C84" w:rsidR="00C9179B" w:rsidRPr="005F1CFB" w:rsidRDefault="00C9179B" w:rsidP="005A2380">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5F1CFB">
        <w:rPr>
          <w:rFonts w:asciiTheme="majorHAnsi" w:hAnsiTheme="majorHAnsi" w:cstheme="majorHAnsi"/>
          <w:sz w:val="22"/>
          <w:szCs w:val="22"/>
          <w:u w:val="single"/>
        </w:rPr>
        <w:t xml:space="preserve">Temporary Freeze on Advanced APM </w:t>
      </w:r>
      <w:r w:rsidR="005F1CFB" w:rsidRPr="005F1CFB">
        <w:rPr>
          <w:rFonts w:asciiTheme="majorHAnsi" w:hAnsiTheme="majorHAnsi" w:cstheme="majorHAnsi"/>
          <w:sz w:val="22"/>
          <w:szCs w:val="22"/>
          <w:u w:val="single"/>
        </w:rPr>
        <w:t>Thresholds</w:t>
      </w:r>
      <w:r w:rsidR="005F1CFB" w:rsidRPr="005F1CFB">
        <w:rPr>
          <w:rFonts w:asciiTheme="majorHAnsi" w:hAnsiTheme="majorHAnsi" w:cstheme="majorHAnsi"/>
          <w:sz w:val="22"/>
          <w:szCs w:val="22"/>
        </w:rPr>
        <w:t xml:space="preserve"> – maintains both the current payment and patient count thresholds for payment years 2023 and 2024 (performance years 2021 and 2022) </w:t>
      </w:r>
      <w:r w:rsidR="005F1CFB" w:rsidRPr="005F1CFB">
        <w:rPr>
          <w:rFonts w:asciiTheme="majorHAnsi" w:hAnsiTheme="majorHAnsi" w:cstheme="majorHAnsi"/>
          <w:b/>
          <w:bCs/>
          <w:sz w:val="22"/>
          <w:szCs w:val="22"/>
        </w:rPr>
        <w:t xml:space="preserve">- </w:t>
      </w:r>
      <w:r w:rsidR="005F1CFB" w:rsidRPr="005F1CFB">
        <w:rPr>
          <w:rFonts w:asciiTheme="majorHAnsi" w:hAnsiTheme="majorHAnsi" w:cstheme="majorHAnsi"/>
          <w:i/>
          <w:iCs/>
          <w:color w:val="FF0000"/>
          <w:sz w:val="22"/>
          <w:szCs w:val="22"/>
        </w:rPr>
        <w:t>UPH advocacy position in conjunction with NGACO Coalition and NAACOs</w:t>
      </w:r>
    </w:p>
    <w:p w14:paraId="5384EEEF" w14:textId="0E59570E" w:rsidR="316D9F2E" w:rsidRPr="007B7657" w:rsidRDefault="316D9F2E"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F45E64">
        <w:rPr>
          <w:rFonts w:asciiTheme="majorHAnsi" w:hAnsiTheme="majorHAnsi" w:cstheme="majorHAnsi"/>
          <w:sz w:val="22"/>
          <w:szCs w:val="22"/>
          <w:u w:val="single"/>
        </w:rPr>
        <w:t>Physician</w:t>
      </w:r>
      <w:r w:rsidR="00383D01" w:rsidRPr="00F45E64">
        <w:rPr>
          <w:rFonts w:asciiTheme="majorHAnsi" w:hAnsiTheme="majorHAnsi" w:cstheme="majorHAnsi"/>
          <w:sz w:val="22"/>
          <w:szCs w:val="22"/>
          <w:u w:val="single"/>
        </w:rPr>
        <w:t xml:space="preserve"> Fee Schedule</w:t>
      </w:r>
      <w:r w:rsidR="00383D01" w:rsidRPr="007B7657">
        <w:rPr>
          <w:rFonts w:asciiTheme="majorHAnsi" w:hAnsiTheme="majorHAnsi" w:cstheme="majorHAnsi"/>
          <w:sz w:val="22"/>
          <w:szCs w:val="22"/>
        </w:rPr>
        <w:t xml:space="preserve"> </w:t>
      </w:r>
      <w:r w:rsidR="007943C3">
        <w:rPr>
          <w:rFonts w:asciiTheme="majorHAnsi" w:hAnsiTheme="majorHAnsi" w:cstheme="majorHAnsi"/>
          <w:sz w:val="22"/>
          <w:szCs w:val="22"/>
        </w:rPr>
        <w:t>–</w:t>
      </w:r>
      <w:r w:rsidR="00383D01" w:rsidRPr="007B7657">
        <w:rPr>
          <w:rFonts w:asciiTheme="majorHAnsi" w:hAnsiTheme="majorHAnsi" w:cstheme="majorHAnsi"/>
          <w:sz w:val="22"/>
          <w:szCs w:val="22"/>
        </w:rPr>
        <w:t xml:space="preserve"> </w:t>
      </w:r>
      <w:r w:rsidR="007943C3">
        <w:rPr>
          <w:rFonts w:asciiTheme="majorHAnsi" w:hAnsiTheme="majorHAnsi" w:cstheme="majorHAnsi"/>
          <w:sz w:val="22"/>
          <w:szCs w:val="22"/>
        </w:rPr>
        <w:t>mitigate</w:t>
      </w:r>
      <w:r w:rsidR="005F1CFB">
        <w:rPr>
          <w:rFonts w:asciiTheme="majorHAnsi" w:hAnsiTheme="majorHAnsi" w:cstheme="majorHAnsi"/>
          <w:sz w:val="22"/>
          <w:szCs w:val="22"/>
        </w:rPr>
        <w:t>s</w:t>
      </w:r>
      <w:r w:rsidR="007943C3">
        <w:rPr>
          <w:rFonts w:asciiTheme="majorHAnsi" w:hAnsiTheme="majorHAnsi" w:cstheme="majorHAnsi"/>
          <w:sz w:val="22"/>
          <w:szCs w:val="22"/>
        </w:rPr>
        <w:t xml:space="preserve"> and phase</w:t>
      </w:r>
      <w:r w:rsidR="005F1CFB">
        <w:rPr>
          <w:rFonts w:asciiTheme="majorHAnsi" w:hAnsiTheme="majorHAnsi" w:cstheme="majorHAnsi"/>
          <w:sz w:val="22"/>
          <w:szCs w:val="22"/>
        </w:rPr>
        <w:t>s</w:t>
      </w:r>
      <w:r w:rsidR="007943C3">
        <w:rPr>
          <w:rFonts w:asciiTheme="majorHAnsi" w:hAnsiTheme="majorHAnsi" w:cstheme="majorHAnsi"/>
          <w:sz w:val="22"/>
          <w:szCs w:val="22"/>
        </w:rPr>
        <w:t xml:space="preserve">-in negative payment adjustments (mainly to specialists) attributed to the E/M code increases. There is a $3 billion </w:t>
      </w:r>
      <w:r w:rsidRPr="007B7657">
        <w:rPr>
          <w:rFonts w:asciiTheme="majorHAnsi" w:hAnsiTheme="majorHAnsi" w:cstheme="majorHAnsi"/>
          <w:sz w:val="22"/>
          <w:szCs w:val="22"/>
        </w:rPr>
        <w:t>one-time, one-year increase of 3.75</w:t>
      </w:r>
      <w:r w:rsidR="007943C3">
        <w:rPr>
          <w:rFonts w:asciiTheme="majorHAnsi" w:hAnsiTheme="majorHAnsi" w:cstheme="majorHAnsi"/>
          <w:sz w:val="22"/>
          <w:szCs w:val="22"/>
        </w:rPr>
        <w:t>%</w:t>
      </w:r>
      <w:r w:rsidR="00383D01" w:rsidRPr="007B7657">
        <w:rPr>
          <w:rFonts w:asciiTheme="majorHAnsi" w:hAnsiTheme="majorHAnsi" w:cstheme="majorHAnsi"/>
          <w:sz w:val="22"/>
          <w:szCs w:val="22"/>
        </w:rPr>
        <w:t xml:space="preserve"> in 2021 </w:t>
      </w:r>
      <w:r w:rsidR="007943C3">
        <w:rPr>
          <w:rFonts w:asciiTheme="majorHAnsi" w:hAnsiTheme="majorHAnsi" w:cstheme="majorHAnsi"/>
          <w:sz w:val="22"/>
          <w:szCs w:val="22"/>
        </w:rPr>
        <w:t>and a 3-year moratorium on the E/M add-on code for complexity.</w:t>
      </w:r>
      <w:r w:rsidR="00C9179B">
        <w:rPr>
          <w:rFonts w:asciiTheme="majorHAnsi" w:hAnsiTheme="majorHAnsi" w:cstheme="majorHAnsi"/>
          <w:sz w:val="22"/>
          <w:szCs w:val="22"/>
        </w:rPr>
        <w:t xml:space="preserve"> –</w:t>
      </w:r>
      <w:r w:rsidR="00C9179B" w:rsidRPr="007B7657">
        <w:rPr>
          <w:rFonts w:asciiTheme="majorHAnsi" w:hAnsiTheme="majorHAnsi" w:cstheme="majorHAnsi"/>
          <w:b/>
          <w:bCs/>
          <w:sz w:val="22"/>
          <w:szCs w:val="22"/>
        </w:rPr>
        <w:t xml:space="preserve"> </w:t>
      </w:r>
      <w:r w:rsidR="00C9179B" w:rsidRPr="00C9179B">
        <w:rPr>
          <w:rFonts w:asciiTheme="majorHAnsi" w:hAnsiTheme="majorHAnsi" w:cstheme="majorHAnsi"/>
          <w:i/>
          <w:iCs/>
          <w:color w:val="FF0000"/>
          <w:sz w:val="22"/>
          <w:szCs w:val="22"/>
        </w:rPr>
        <w:t xml:space="preserve">includes </w:t>
      </w:r>
      <w:r w:rsidR="00C9179B" w:rsidRPr="00F45E64">
        <w:rPr>
          <w:rFonts w:asciiTheme="majorHAnsi" w:hAnsiTheme="majorHAnsi" w:cstheme="majorHAnsi"/>
          <w:i/>
          <w:iCs/>
          <w:color w:val="FF0000"/>
          <w:sz w:val="22"/>
          <w:szCs w:val="22"/>
        </w:rPr>
        <w:t>UPH advocacy position</w:t>
      </w:r>
    </w:p>
    <w:p w14:paraId="4B6168CD" w14:textId="7291F4F8" w:rsidR="316D9F2E" w:rsidRPr="005F1CFB" w:rsidRDefault="316D9F2E"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F45E64">
        <w:rPr>
          <w:rFonts w:asciiTheme="majorHAnsi" w:hAnsiTheme="majorHAnsi" w:cstheme="majorHAnsi"/>
          <w:sz w:val="22"/>
          <w:szCs w:val="22"/>
          <w:u w:val="single"/>
        </w:rPr>
        <w:lastRenderedPageBreak/>
        <w:t>Medicare Sequestration</w:t>
      </w:r>
      <w:r w:rsidR="00383D01" w:rsidRPr="007B7657">
        <w:rPr>
          <w:rFonts w:asciiTheme="majorHAnsi" w:hAnsiTheme="majorHAnsi" w:cstheme="majorHAnsi"/>
          <w:sz w:val="22"/>
          <w:szCs w:val="22"/>
        </w:rPr>
        <w:t xml:space="preserve"> - 3</w:t>
      </w:r>
      <w:r w:rsidRPr="007B7657">
        <w:rPr>
          <w:rFonts w:asciiTheme="majorHAnsi" w:hAnsiTheme="majorHAnsi" w:cstheme="majorHAnsi"/>
          <w:sz w:val="22"/>
          <w:szCs w:val="22"/>
        </w:rPr>
        <w:t>-month delay of payment reductions through March 31, 2021</w:t>
      </w:r>
      <w:r w:rsidR="00C9179B">
        <w:rPr>
          <w:rFonts w:asciiTheme="majorHAnsi" w:hAnsiTheme="majorHAnsi" w:cstheme="majorHAnsi"/>
          <w:sz w:val="22"/>
          <w:szCs w:val="22"/>
        </w:rPr>
        <w:t xml:space="preserve"> </w:t>
      </w:r>
      <w:r w:rsidR="005F1CFB">
        <w:rPr>
          <w:rFonts w:asciiTheme="majorHAnsi" w:hAnsiTheme="majorHAnsi" w:cstheme="majorHAnsi"/>
          <w:b/>
          <w:bCs/>
          <w:sz w:val="22"/>
          <w:szCs w:val="22"/>
        </w:rPr>
        <w:t>–</w:t>
      </w:r>
      <w:r w:rsidR="00C9179B" w:rsidRPr="007B7657">
        <w:rPr>
          <w:rFonts w:asciiTheme="majorHAnsi" w:hAnsiTheme="majorHAnsi" w:cstheme="majorHAnsi"/>
          <w:b/>
          <w:bCs/>
          <w:sz w:val="22"/>
          <w:szCs w:val="22"/>
        </w:rPr>
        <w:t xml:space="preserve"> </w:t>
      </w:r>
      <w:r w:rsidR="005F1CFB">
        <w:rPr>
          <w:rFonts w:asciiTheme="majorHAnsi" w:hAnsiTheme="majorHAnsi" w:cstheme="majorHAnsi"/>
          <w:i/>
          <w:iCs/>
          <w:color w:val="FF0000"/>
          <w:sz w:val="22"/>
          <w:szCs w:val="22"/>
        </w:rPr>
        <w:t>AHA and U</w:t>
      </w:r>
      <w:r w:rsidR="00C9179B" w:rsidRPr="00F45E64">
        <w:rPr>
          <w:rFonts w:asciiTheme="majorHAnsi" w:hAnsiTheme="majorHAnsi" w:cstheme="majorHAnsi"/>
          <w:i/>
          <w:iCs/>
          <w:color w:val="FF0000"/>
          <w:sz w:val="22"/>
          <w:szCs w:val="22"/>
        </w:rPr>
        <w:t>PH advocacy position</w:t>
      </w:r>
    </w:p>
    <w:p w14:paraId="4C666FBD" w14:textId="77777777" w:rsidR="00395689" w:rsidRPr="00FC2DFF" w:rsidRDefault="00395689" w:rsidP="00395689">
      <w:pPr>
        <w:pStyle w:val="ListParagraph"/>
        <w:numPr>
          <w:ilvl w:val="0"/>
          <w:numId w:val="6"/>
        </w:numPr>
        <w:pBdr>
          <w:left w:val="single" w:sz="4" w:space="22" w:color="auto"/>
          <w:bottom w:val="single" w:sz="4" w:space="1" w:color="auto"/>
          <w:right w:val="single" w:sz="4" w:space="31" w:color="auto"/>
        </w:pBdr>
        <w:spacing w:line="240" w:lineRule="auto"/>
        <w:ind w:right="576"/>
        <w:rPr>
          <w:rStyle w:val="normaltextrun"/>
          <w:rFonts w:asciiTheme="majorHAnsi" w:hAnsiTheme="majorHAnsi" w:cstheme="majorHAnsi"/>
          <w:sz w:val="22"/>
          <w:szCs w:val="22"/>
        </w:rPr>
      </w:pPr>
      <w:r w:rsidRPr="00FC2DFF">
        <w:rPr>
          <w:rFonts w:asciiTheme="majorHAnsi" w:hAnsiTheme="majorHAnsi" w:cstheme="majorHAnsi"/>
          <w:sz w:val="22"/>
          <w:szCs w:val="22"/>
          <w:u w:val="single"/>
        </w:rPr>
        <w:t>Mental Health Services Via Telehealth</w:t>
      </w:r>
      <w:r w:rsidRPr="00FC2DFF">
        <w:rPr>
          <w:rFonts w:asciiTheme="majorHAnsi" w:hAnsiTheme="majorHAnsi" w:cstheme="majorHAnsi"/>
          <w:sz w:val="22"/>
          <w:szCs w:val="22"/>
        </w:rPr>
        <w:t xml:space="preserve"> – Reimburse</w:t>
      </w:r>
      <w:r>
        <w:rPr>
          <w:rFonts w:asciiTheme="majorHAnsi" w:hAnsiTheme="majorHAnsi" w:cstheme="majorHAnsi"/>
          <w:sz w:val="22"/>
          <w:szCs w:val="22"/>
        </w:rPr>
        <w:t>s for</w:t>
      </w:r>
      <w:r w:rsidRPr="00FC2DFF">
        <w:rPr>
          <w:rFonts w:asciiTheme="majorHAnsi" w:hAnsiTheme="majorHAnsi" w:cstheme="majorHAnsi"/>
          <w:sz w:val="22"/>
          <w:szCs w:val="22"/>
        </w:rPr>
        <w:t xml:space="preserve"> mental health services to certain existing patients through telehealth, including from the beneficiary’s home</w:t>
      </w:r>
      <w:r>
        <w:rPr>
          <w:rFonts w:asciiTheme="majorHAnsi" w:hAnsiTheme="majorHAnsi" w:cstheme="majorHAnsi"/>
          <w:sz w:val="22"/>
          <w:szCs w:val="22"/>
        </w:rPr>
        <w:t xml:space="preserve">; </w:t>
      </w:r>
      <w:r w:rsidRPr="00F141BA">
        <w:rPr>
          <w:rStyle w:val="normaltextrun"/>
          <w:rFonts w:ascii="Calibri" w:hAnsi="Calibri" w:cs="Calibri"/>
          <w:i/>
          <w:iCs/>
          <w:color w:val="FF0000"/>
          <w:sz w:val="22"/>
          <w:szCs w:val="22"/>
        </w:rPr>
        <w:t>UPH advocacy position</w:t>
      </w:r>
    </w:p>
    <w:p w14:paraId="646FB9C4" w14:textId="7086B262" w:rsidR="005F1CFB" w:rsidRDefault="005F1CFB"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066BAA">
        <w:rPr>
          <w:rFonts w:asciiTheme="majorHAnsi" w:hAnsiTheme="majorHAnsi" w:cstheme="majorHAnsi"/>
          <w:sz w:val="22"/>
          <w:szCs w:val="22"/>
          <w:u w:val="single"/>
        </w:rPr>
        <w:t>Home Health Assessment Flexibility</w:t>
      </w:r>
      <w:r>
        <w:rPr>
          <w:rFonts w:asciiTheme="majorHAnsi" w:hAnsiTheme="majorHAnsi" w:cstheme="majorHAnsi"/>
          <w:sz w:val="22"/>
          <w:szCs w:val="22"/>
        </w:rPr>
        <w:t xml:space="preserve"> – Permit</w:t>
      </w:r>
      <w:r w:rsidR="004E5F56">
        <w:rPr>
          <w:rFonts w:asciiTheme="majorHAnsi" w:hAnsiTheme="majorHAnsi" w:cstheme="majorHAnsi"/>
          <w:sz w:val="22"/>
          <w:szCs w:val="22"/>
        </w:rPr>
        <w:t>s</w:t>
      </w:r>
      <w:r>
        <w:rPr>
          <w:rFonts w:asciiTheme="majorHAnsi" w:hAnsiTheme="majorHAnsi" w:cstheme="majorHAnsi"/>
          <w:sz w:val="22"/>
          <w:szCs w:val="22"/>
        </w:rPr>
        <w:t xml:space="preserve"> </w:t>
      </w:r>
      <w:r w:rsidR="00066BAA">
        <w:rPr>
          <w:rFonts w:asciiTheme="majorHAnsi" w:hAnsiTheme="majorHAnsi" w:cstheme="majorHAnsi"/>
          <w:sz w:val="22"/>
          <w:szCs w:val="22"/>
        </w:rPr>
        <w:t>occupational  therapists</w:t>
      </w:r>
      <w:r w:rsidRPr="005F1CFB">
        <w:rPr>
          <w:rFonts w:asciiTheme="majorHAnsi" w:hAnsiTheme="majorHAnsi" w:cstheme="majorHAnsi"/>
          <w:sz w:val="22"/>
          <w:szCs w:val="22"/>
        </w:rPr>
        <w:t xml:space="preserve"> to conduct initial assessment visits and complete comprehensive assessments for certain home health services if the referral order by the physician does not include skilled nursing care but includes occupational therapy and physical therapy or speech language pathology</w:t>
      </w:r>
    </w:p>
    <w:p w14:paraId="20B68A0E" w14:textId="7BF43485" w:rsidR="00066BAA" w:rsidRDefault="00066BAA" w:rsidP="00F45E64">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Pr>
          <w:rFonts w:asciiTheme="majorHAnsi" w:hAnsiTheme="majorHAnsi" w:cstheme="majorHAnsi"/>
          <w:sz w:val="22"/>
          <w:szCs w:val="22"/>
          <w:u w:val="single"/>
        </w:rPr>
        <w:t xml:space="preserve">Home Infusion Therapy Services Continuity </w:t>
      </w:r>
      <w:r>
        <w:rPr>
          <w:rFonts w:asciiTheme="majorHAnsi" w:hAnsiTheme="majorHAnsi" w:cstheme="majorHAnsi"/>
          <w:sz w:val="22"/>
          <w:szCs w:val="22"/>
        </w:rPr>
        <w:t xml:space="preserve">– Ensures coverage for </w:t>
      </w:r>
      <w:r w:rsidRPr="00066BAA">
        <w:rPr>
          <w:rFonts w:asciiTheme="majorHAnsi" w:hAnsiTheme="majorHAnsi" w:cstheme="majorHAnsi"/>
          <w:sz w:val="22"/>
          <w:szCs w:val="22"/>
        </w:rPr>
        <w:t>beneficiaries taking self-administered and biological drugs under the temporary transitional home infusion therapy benefit when the permanent home infusion therapy benefit takes effect January 1, 2021</w:t>
      </w:r>
    </w:p>
    <w:p w14:paraId="64529A4C" w14:textId="1D4D6EFA" w:rsidR="00066BAA" w:rsidRDefault="00066BAA" w:rsidP="00422836">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4E5F56">
        <w:rPr>
          <w:rFonts w:asciiTheme="majorHAnsi" w:hAnsiTheme="majorHAnsi" w:cstheme="majorHAnsi"/>
          <w:sz w:val="22"/>
          <w:szCs w:val="22"/>
          <w:u w:val="single"/>
        </w:rPr>
        <w:t xml:space="preserve">Hospice Benefit Billing by </w:t>
      </w:r>
      <w:r w:rsidR="004E5F56" w:rsidRPr="004E5F56">
        <w:rPr>
          <w:rFonts w:asciiTheme="majorHAnsi" w:hAnsiTheme="majorHAnsi" w:cstheme="majorHAnsi"/>
          <w:sz w:val="22"/>
          <w:szCs w:val="22"/>
          <w:u w:val="single"/>
        </w:rPr>
        <w:t>RHCs and FQHCs</w:t>
      </w:r>
      <w:r w:rsidRPr="004E5F56">
        <w:rPr>
          <w:rFonts w:asciiTheme="majorHAnsi" w:hAnsiTheme="majorHAnsi" w:cstheme="majorHAnsi"/>
          <w:sz w:val="22"/>
          <w:szCs w:val="22"/>
        </w:rPr>
        <w:t xml:space="preserve"> </w:t>
      </w:r>
      <w:r w:rsidR="004E5F56" w:rsidRPr="004E5F56">
        <w:rPr>
          <w:rFonts w:asciiTheme="majorHAnsi" w:hAnsiTheme="majorHAnsi" w:cstheme="majorHAnsi"/>
          <w:sz w:val="22"/>
          <w:szCs w:val="22"/>
        </w:rPr>
        <w:t xml:space="preserve">– Permits billing for </w:t>
      </w:r>
      <w:r w:rsidRPr="004E5F56">
        <w:rPr>
          <w:rFonts w:asciiTheme="majorHAnsi" w:hAnsiTheme="majorHAnsi" w:cstheme="majorHAnsi"/>
          <w:sz w:val="22"/>
          <w:szCs w:val="22"/>
        </w:rPr>
        <w:t>hospice attending physician services when RHC and FQHC patients become terminally ill and elect the hospice benefit, beginning January 1, 2022.</w:t>
      </w:r>
    </w:p>
    <w:p w14:paraId="4DF76FF0" w14:textId="6EAD21DC" w:rsidR="002226E2" w:rsidRDefault="002226E2" w:rsidP="007D6ACC">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2226E2">
        <w:rPr>
          <w:rFonts w:asciiTheme="majorHAnsi" w:hAnsiTheme="majorHAnsi" w:cstheme="majorHAnsi"/>
          <w:sz w:val="22"/>
          <w:szCs w:val="22"/>
          <w:u w:val="single"/>
        </w:rPr>
        <w:t>Hospice Cap Calculation</w:t>
      </w:r>
      <w:r w:rsidRPr="002226E2">
        <w:rPr>
          <w:rFonts w:asciiTheme="majorHAnsi" w:hAnsiTheme="majorHAnsi" w:cstheme="majorHAnsi"/>
          <w:sz w:val="22"/>
          <w:szCs w:val="22"/>
        </w:rPr>
        <w:t xml:space="preserve"> - applies the hospice payment update percentage to the hospice aggregate cap for fiscal years 2026 through 2030</w:t>
      </w:r>
      <w:r>
        <w:rPr>
          <w:rFonts w:asciiTheme="majorHAnsi" w:hAnsiTheme="majorHAnsi" w:cstheme="majorHAnsi"/>
          <w:sz w:val="22"/>
          <w:szCs w:val="22"/>
        </w:rPr>
        <w:t>.</w:t>
      </w:r>
    </w:p>
    <w:p w14:paraId="02F8F49B" w14:textId="57EBE8F5" w:rsidR="002226E2" w:rsidRDefault="002226E2" w:rsidP="007D6ACC">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Pr>
          <w:rFonts w:asciiTheme="majorHAnsi" w:hAnsiTheme="majorHAnsi" w:cstheme="majorHAnsi"/>
          <w:sz w:val="22"/>
          <w:szCs w:val="22"/>
          <w:u w:val="single"/>
        </w:rPr>
        <w:t xml:space="preserve">Hospice Program Survey and Enforcement </w:t>
      </w:r>
      <w:r>
        <w:rPr>
          <w:rFonts w:asciiTheme="majorHAnsi" w:hAnsiTheme="majorHAnsi" w:cstheme="majorHAnsi"/>
          <w:sz w:val="22"/>
          <w:szCs w:val="22"/>
        </w:rPr>
        <w:t>– Conduct surveys</w:t>
      </w:r>
      <w:r w:rsidRPr="002226E2">
        <w:rPr>
          <w:rFonts w:asciiTheme="majorHAnsi" w:hAnsiTheme="majorHAnsi" w:cstheme="majorHAnsi"/>
          <w:sz w:val="22"/>
          <w:szCs w:val="22"/>
        </w:rPr>
        <w:t xml:space="preserve"> no less frequently than once every 36 months</w:t>
      </w:r>
      <w:r>
        <w:rPr>
          <w:rFonts w:asciiTheme="majorHAnsi" w:hAnsiTheme="majorHAnsi" w:cstheme="majorHAnsi"/>
          <w:sz w:val="22"/>
          <w:szCs w:val="22"/>
        </w:rPr>
        <w:t>.</w:t>
      </w:r>
    </w:p>
    <w:p w14:paraId="628FBBBD" w14:textId="01ED6B06" w:rsidR="00066BAA" w:rsidRPr="00C93FFE" w:rsidRDefault="00066BAA" w:rsidP="007D6ACC">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i/>
          <w:iCs/>
          <w:sz w:val="22"/>
          <w:szCs w:val="22"/>
        </w:rPr>
      </w:pPr>
      <w:r w:rsidRPr="002226E2">
        <w:rPr>
          <w:rFonts w:asciiTheme="majorHAnsi" w:hAnsiTheme="majorHAnsi" w:cstheme="majorHAnsi"/>
          <w:sz w:val="22"/>
          <w:szCs w:val="22"/>
          <w:u w:val="single"/>
        </w:rPr>
        <w:t xml:space="preserve">Delay CMMI </w:t>
      </w:r>
      <w:r w:rsidR="00FC2DFF" w:rsidRPr="002226E2">
        <w:rPr>
          <w:rFonts w:asciiTheme="majorHAnsi" w:hAnsiTheme="majorHAnsi" w:cstheme="majorHAnsi"/>
          <w:sz w:val="22"/>
          <w:szCs w:val="22"/>
          <w:u w:val="single"/>
        </w:rPr>
        <w:t>Mandatory Radiation Oncology Model</w:t>
      </w:r>
      <w:r w:rsidR="00FC2DFF" w:rsidRPr="002226E2">
        <w:rPr>
          <w:rFonts w:asciiTheme="majorHAnsi" w:hAnsiTheme="majorHAnsi" w:cstheme="majorHAnsi"/>
          <w:sz w:val="22"/>
          <w:szCs w:val="22"/>
        </w:rPr>
        <w:t xml:space="preserve"> </w:t>
      </w:r>
      <w:r w:rsidRPr="002226E2">
        <w:rPr>
          <w:rFonts w:asciiTheme="majorHAnsi" w:hAnsiTheme="majorHAnsi" w:cstheme="majorHAnsi"/>
          <w:sz w:val="22"/>
          <w:szCs w:val="22"/>
        </w:rPr>
        <w:t xml:space="preserve">– </w:t>
      </w:r>
      <w:r w:rsidR="004E5F56" w:rsidRPr="002226E2">
        <w:rPr>
          <w:rFonts w:asciiTheme="majorHAnsi" w:hAnsiTheme="majorHAnsi" w:cstheme="majorHAnsi"/>
          <w:sz w:val="22"/>
          <w:szCs w:val="22"/>
        </w:rPr>
        <w:t>A</w:t>
      </w:r>
      <w:r w:rsidRPr="002226E2">
        <w:rPr>
          <w:rFonts w:asciiTheme="majorHAnsi" w:hAnsiTheme="majorHAnsi" w:cstheme="majorHAnsi"/>
          <w:sz w:val="22"/>
          <w:szCs w:val="22"/>
        </w:rPr>
        <w:t xml:space="preserve">dds a 6-month delay to being first performance year on January 1, 2022; </w:t>
      </w:r>
      <w:r w:rsidRPr="002226E2">
        <w:rPr>
          <w:rFonts w:asciiTheme="majorHAnsi" w:hAnsiTheme="majorHAnsi" w:cstheme="majorHAnsi"/>
          <w:i/>
          <w:iCs/>
          <w:color w:val="FF0000"/>
          <w:sz w:val="22"/>
          <w:szCs w:val="22"/>
        </w:rPr>
        <w:t>impacts UPH regions</w:t>
      </w:r>
      <w:r w:rsidRPr="002226E2">
        <w:rPr>
          <w:rFonts w:asciiTheme="majorHAnsi" w:hAnsiTheme="majorHAnsi" w:cstheme="majorHAnsi"/>
          <w:color w:val="FF0000"/>
          <w:sz w:val="22"/>
          <w:szCs w:val="22"/>
        </w:rPr>
        <w:t xml:space="preserve"> </w:t>
      </w:r>
      <w:r w:rsidR="00C93FFE" w:rsidRPr="00C93FFE">
        <w:rPr>
          <w:rFonts w:asciiTheme="majorHAnsi" w:hAnsiTheme="majorHAnsi" w:cstheme="majorHAnsi"/>
          <w:i/>
          <w:iCs/>
          <w:color w:val="FF0000"/>
          <w:sz w:val="22"/>
          <w:szCs w:val="22"/>
        </w:rPr>
        <w:t>of Peoria, IL and Waterloo, IA</w:t>
      </w:r>
    </w:p>
    <w:p w14:paraId="32BC1D8B" w14:textId="1A3278B5" w:rsidR="002226E2" w:rsidRPr="002226E2" w:rsidRDefault="002226E2" w:rsidP="00383C0A">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2226E2">
        <w:rPr>
          <w:rFonts w:asciiTheme="majorHAnsi" w:hAnsiTheme="majorHAnsi" w:cstheme="majorHAnsi"/>
          <w:sz w:val="22"/>
          <w:szCs w:val="22"/>
          <w:u w:val="single"/>
        </w:rPr>
        <w:t>Physician Assistant (PA) Reimbursement</w:t>
      </w:r>
      <w:r>
        <w:rPr>
          <w:rFonts w:asciiTheme="majorHAnsi" w:hAnsiTheme="majorHAnsi" w:cstheme="majorHAnsi"/>
          <w:sz w:val="22"/>
          <w:szCs w:val="22"/>
        </w:rPr>
        <w:t xml:space="preserve"> - A</w:t>
      </w:r>
      <w:r w:rsidRPr="002226E2">
        <w:rPr>
          <w:rFonts w:asciiTheme="majorHAnsi" w:hAnsiTheme="majorHAnsi" w:cstheme="majorHAnsi"/>
          <w:sz w:val="22"/>
          <w:szCs w:val="22"/>
        </w:rPr>
        <w:t xml:space="preserve">llows direct payment to </w:t>
      </w:r>
      <w:r>
        <w:rPr>
          <w:rFonts w:asciiTheme="majorHAnsi" w:hAnsiTheme="majorHAnsi" w:cstheme="majorHAnsi"/>
          <w:sz w:val="22"/>
          <w:szCs w:val="22"/>
        </w:rPr>
        <w:t>PAs</w:t>
      </w:r>
      <w:r w:rsidRPr="002226E2">
        <w:rPr>
          <w:rFonts w:asciiTheme="majorHAnsi" w:hAnsiTheme="majorHAnsi" w:cstheme="majorHAnsi"/>
          <w:sz w:val="22"/>
          <w:szCs w:val="22"/>
        </w:rPr>
        <w:t xml:space="preserve"> for services furnished to beneficiaries on or after January 1, 2022</w:t>
      </w:r>
    </w:p>
    <w:p w14:paraId="44D9C286" w14:textId="4E552011" w:rsidR="00066BAA" w:rsidRPr="004E5F56" w:rsidRDefault="004E5F56" w:rsidP="00383C0A">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4E5F56">
        <w:rPr>
          <w:rFonts w:asciiTheme="majorHAnsi" w:hAnsiTheme="majorHAnsi" w:cstheme="majorHAnsi"/>
          <w:sz w:val="22"/>
          <w:szCs w:val="22"/>
          <w:u w:val="single"/>
        </w:rPr>
        <w:t>Oxygen Reimbursement</w:t>
      </w:r>
      <w:r w:rsidRPr="004E5F56">
        <w:rPr>
          <w:rFonts w:asciiTheme="majorHAnsi" w:hAnsiTheme="majorHAnsi" w:cstheme="majorHAnsi"/>
          <w:sz w:val="22"/>
          <w:szCs w:val="22"/>
        </w:rPr>
        <w:t xml:space="preserve"> – Waives </w:t>
      </w:r>
      <w:r w:rsidR="00066BAA" w:rsidRPr="004E5F56">
        <w:rPr>
          <w:rFonts w:asciiTheme="majorHAnsi" w:hAnsiTheme="majorHAnsi" w:cstheme="majorHAnsi"/>
          <w:sz w:val="22"/>
          <w:szCs w:val="22"/>
        </w:rPr>
        <w:t xml:space="preserve">budget neutrality </w:t>
      </w:r>
      <w:r w:rsidRPr="004E5F56">
        <w:rPr>
          <w:rFonts w:asciiTheme="majorHAnsi" w:hAnsiTheme="majorHAnsi" w:cstheme="majorHAnsi"/>
          <w:sz w:val="22"/>
          <w:szCs w:val="22"/>
        </w:rPr>
        <w:t xml:space="preserve">and increases payment </w:t>
      </w:r>
      <w:r w:rsidR="00066BAA" w:rsidRPr="004E5F56">
        <w:rPr>
          <w:rFonts w:asciiTheme="majorHAnsi" w:hAnsiTheme="majorHAnsi" w:cstheme="majorHAnsi"/>
          <w:sz w:val="22"/>
          <w:szCs w:val="22"/>
        </w:rPr>
        <w:t xml:space="preserve">for new payment classes of oxygen and oxygen equipment. </w:t>
      </w:r>
    </w:p>
    <w:p w14:paraId="71085EB3" w14:textId="7E282160" w:rsidR="00066BAA" w:rsidRPr="00066BAA" w:rsidRDefault="004E5F56" w:rsidP="00066BAA">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sidRPr="004E5F56">
        <w:rPr>
          <w:rFonts w:asciiTheme="majorHAnsi" w:hAnsiTheme="majorHAnsi" w:cstheme="majorHAnsi"/>
          <w:sz w:val="22"/>
          <w:szCs w:val="22"/>
          <w:u w:val="single"/>
        </w:rPr>
        <w:t>C</w:t>
      </w:r>
      <w:r w:rsidR="00066BAA" w:rsidRPr="004E5F56">
        <w:rPr>
          <w:rFonts w:asciiTheme="majorHAnsi" w:hAnsiTheme="majorHAnsi" w:cstheme="majorHAnsi"/>
          <w:sz w:val="22"/>
          <w:szCs w:val="22"/>
          <w:u w:val="single"/>
        </w:rPr>
        <w:t xml:space="preserve">oinsurance for </w:t>
      </w:r>
      <w:r w:rsidRPr="004E5F56">
        <w:rPr>
          <w:rFonts w:asciiTheme="majorHAnsi" w:hAnsiTheme="majorHAnsi" w:cstheme="majorHAnsi"/>
          <w:sz w:val="22"/>
          <w:szCs w:val="22"/>
          <w:u w:val="single"/>
        </w:rPr>
        <w:t>Colorectal Cancer Screening Tests</w:t>
      </w:r>
      <w:r w:rsidR="00066BAA" w:rsidRPr="00066BAA">
        <w:rPr>
          <w:rFonts w:asciiTheme="majorHAnsi" w:hAnsiTheme="majorHAnsi" w:cstheme="majorHAnsi"/>
          <w:sz w:val="22"/>
          <w:szCs w:val="22"/>
        </w:rPr>
        <w:t xml:space="preserve">. </w:t>
      </w:r>
      <w:r w:rsidR="00FC2DFF">
        <w:rPr>
          <w:rFonts w:asciiTheme="majorHAnsi" w:hAnsiTheme="majorHAnsi" w:cstheme="majorHAnsi"/>
          <w:sz w:val="22"/>
          <w:szCs w:val="22"/>
        </w:rPr>
        <w:t>Phase</w:t>
      </w:r>
      <w:r w:rsidR="00342864">
        <w:rPr>
          <w:rFonts w:asciiTheme="majorHAnsi" w:hAnsiTheme="majorHAnsi" w:cstheme="majorHAnsi"/>
          <w:sz w:val="22"/>
          <w:szCs w:val="22"/>
        </w:rPr>
        <w:t>s</w:t>
      </w:r>
      <w:r w:rsidR="00FC2DFF">
        <w:rPr>
          <w:rFonts w:asciiTheme="majorHAnsi" w:hAnsiTheme="majorHAnsi" w:cstheme="majorHAnsi"/>
          <w:sz w:val="22"/>
          <w:szCs w:val="22"/>
        </w:rPr>
        <w:t xml:space="preserve"> out</w:t>
      </w:r>
      <w:r w:rsidR="00066BAA" w:rsidRPr="00066BAA">
        <w:rPr>
          <w:rFonts w:asciiTheme="majorHAnsi" w:hAnsiTheme="majorHAnsi" w:cstheme="majorHAnsi"/>
          <w:sz w:val="22"/>
          <w:szCs w:val="22"/>
        </w:rPr>
        <w:t xml:space="preserve"> cost-sharing for Medicare beneficiaries </w:t>
      </w:r>
      <w:r>
        <w:rPr>
          <w:rFonts w:asciiTheme="majorHAnsi" w:hAnsiTheme="majorHAnsi" w:cstheme="majorHAnsi"/>
          <w:sz w:val="22"/>
          <w:szCs w:val="22"/>
        </w:rPr>
        <w:t>for</w:t>
      </w:r>
      <w:r w:rsidR="00066BAA" w:rsidRPr="00066BAA">
        <w:rPr>
          <w:rFonts w:asciiTheme="majorHAnsi" w:hAnsiTheme="majorHAnsi" w:cstheme="majorHAnsi"/>
          <w:sz w:val="22"/>
          <w:szCs w:val="22"/>
        </w:rPr>
        <w:t xml:space="preserve"> screening tests where a polyp is detected and removed</w:t>
      </w:r>
      <w:r>
        <w:rPr>
          <w:rFonts w:asciiTheme="majorHAnsi" w:hAnsiTheme="majorHAnsi" w:cstheme="majorHAnsi"/>
          <w:sz w:val="22"/>
          <w:szCs w:val="22"/>
        </w:rPr>
        <w:t xml:space="preserve"> </w:t>
      </w:r>
      <w:r w:rsidRPr="004E5F56">
        <w:rPr>
          <w:rFonts w:asciiTheme="majorHAnsi" w:hAnsiTheme="majorHAnsi" w:cstheme="majorHAnsi"/>
          <w:sz w:val="22"/>
          <w:szCs w:val="22"/>
        </w:rPr>
        <w:t>beginning January 1, 2022</w:t>
      </w:r>
      <w:r w:rsidR="00FC2DFF">
        <w:rPr>
          <w:rFonts w:asciiTheme="majorHAnsi" w:hAnsiTheme="majorHAnsi" w:cstheme="majorHAnsi"/>
          <w:sz w:val="22"/>
          <w:szCs w:val="22"/>
        </w:rPr>
        <w:t xml:space="preserve"> through 2029</w:t>
      </w:r>
      <w:r w:rsidR="00066BAA" w:rsidRPr="00066BAA">
        <w:rPr>
          <w:rFonts w:asciiTheme="majorHAnsi" w:hAnsiTheme="majorHAnsi" w:cstheme="majorHAnsi"/>
          <w:sz w:val="22"/>
          <w:szCs w:val="22"/>
        </w:rPr>
        <w:t xml:space="preserve">. </w:t>
      </w:r>
    </w:p>
    <w:p w14:paraId="5E56B2AA" w14:textId="1B9BB1F3" w:rsidR="00FC2DFF" w:rsidRPr="00342864" w:rsidRDefault="00342864" w:rsidP="004C4313">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u w:val="single"/>
        </w:rPr>
      </w:pPr>
      <w:r w:rsidRPr="00342864">
        <w:rPr>
          <w:rFonts w:asciiTheme="majorHAnsi" w:hAnsiTheme="majorHAnsi" w:cstheme="majorHAnsi"/>
          <w:sz w:val="22"/>
          <w:szCs w:val="22"/>
          <w:u w:val="single"/>
        </w:rPr>
        <w:t>Rural Community Hospital Demonstration</w:t>
      </w:r>
      <w:r>
        <w:rPr>
          <w:rFonts w:asciiTheme="majorHAnsi" w:hAnsiTheme="majorHAnsi" w:cstheme="majorHAnsi"/>
          <w:sz w:val="22"/>
          <w:szCs w:val="22"/>
          <w:u w:val="single"/>
        </w:rPr>
        <w:t xml:space="preserve"> Extension</w:t>
      </w:r>
      <w:r w:rsidRPr="00342864">
        <w:rPr>
          <w:rFonts w:asciiTheme="majorHAnsi" w:hAnsiTheme="majorHAnsi" w:cstheme="majorHAnsi"/>
          <w:sz w:val="22"/>
          <w:szCs w:val="22"/>
        </w:rPr>
        <w:t xml:space="preserve"> – </w:t>
      </w:r>
      <w:r>
        <w:rPr>
          <w:rFonts w:asciiTheme="majorHAnsi" w:hAnsiTheme="majorHAnsi" w:cstheme="majorHAnsi"/>
          <w:sz w:val="22"/>
          <w:szCs w:val="22"/>
        </w:rPr>
        <w:t xml:space="preserve">Extends this demonstration by 5 years; </w:t>
      </w:r>
      <w:r w:rsidRPr="00342864">
        <w:rPr>
          <w:rFonts w:asciiTheme="majorHAnsi" w:hAnsiTheme="majorHAnsi" w:cstheme="majorHAnsi"/>
          <w:i/>
          <w:iCs/>
          <w:color w:val="FF0000"/>
          <w:sz w:val="22"/>
          <w:szCs w:val="22"/>
        </w:rPr>
        <w:t>UPH advocacy position;</w:t>
      </w:r>
      <w:r w:rsidRPr="00342864">
        <w:rPr>
          <w:rFonts w:asciiTheme="majorHAnsi" w:hAnsiTheme="majorHAnsi" w:cstheme="majorHAnsi"/>
          <w:color w:val="FF0000"/>
          <w:sz w:val="22"/>
          <w:szCs w:val="22"/>
        </w:rPr>
        <w:t xml:space="preserve"> </w:t>
      </w:r>
      <w:r w:rsidRPr="00342864">
        <w:rPr>
          <w:rFonts w:asciiTheme="majorHAnsi" w:hAnsiTheme="majorHAnsi" w:cstheme="majorHAnsi"/>
          <w:i/>
          <w:iCs/>
          <w:color w:val="FF0000"/>
          <w:sz w:val="22"/>
          <w:szCs w:val="22"/>
        </w:rPr>
        <w:t>Grinnell Regional Medical Center and Trinity Regional Medical Center (Fort Dodge) are participants</w:t>
      </w:r>
    </w:p>
    <w:p w14:paraId="7451146A" w14:textId="3FF79A5B" w:rsidR="00B16C78" w:rsidRPr="003A5119" w:rsidRDefault="00342864" w:rsidP="00BB30D2">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u w:val="single"/>
        </w:rPr>
      </w:pPr>
      <w:r w:rsidRPr="003A5119">
        <w:rPr>
          <w:rFonts w:asciiTheme="majorHAnsi" w:hAnsiTheme="majorHAnsi" w:cstheme="majorHAnsi"/>
          <w:sz w:val="22"/>
          <w:szCs w:val="22"/>
          <w:u w:val="single"/>
        </w:rPr>
        <w:t>Rural Emergency Hospital Demonstration</w:t>
      </w:r>
      <w:r w:rsidRPr="003A5119">
        <w:rPr>
          <w:rFonts w:asciiTheme="majorHAnsi" w:hAnsiTheme="majorHAnsi" w:cstheme="majorHAnsi"/>
          <w:sz w:val="22"/>
          <w:szCs w:val="22"/>
        </w:rPr>
        <w:t xml:space="preserve"> – Creates new rural hospital designation to convert existing CAHs or small PPS hospitals. </w:t>
      </w:r>
      <w:r w:rsidR="003A5119" w:rsidRPr="003A5119">
        <w:rPr>
          <w:rFonts w:asciiTheme="majorHAnsi" w:hAnsiTheme="majorHAnsi" w:cstheme="majorHAnsi"/>
          <w:sz w:val="22"/>
          <w:szCs w:val="22"/>
        </w:rPr>
        <w:t>Services, aside from emergency medical care, may include observation care, outpatient hospital services, telehealth services, ambulance services, and skilled nursing facility services. Reimburse relies on PPS, with addition of monthly facility payment and 5% add-on for hospital outpatient services</w:t>
      </w:r>
      <w:r w:rsidR="003A5119">
        <w:rPr>
          <w:rFonts w:asciiTheme="majorHAnsi" w:hAnsiTheme="majorHAnsi" w:cstheme="majorHAnsi"/>
          <w:sz w:val="22"/>
          <w:szCs w:val="22"/>
        </w:rPr>
        <w:t xml:space="preserve">; </w:t>
      </w:r>
      <w:r w:rsidRPr="003A5119">
        <w:rPr>
          <w:rFonts w:asciiTheme="majorHAnsi" w:hAnsiTheme="majorHAnsi" w:cstheme="majorHAnsi"/>
          <w:i/>
          <w:iCs/>
          <w:color w:val="FF0000"/>
          <w:sz w:val="22"/>
          <w:szCs w:val="22"/>
        </w:rPr>
        <w:t>UPH involved with Grassley, AHA, IHA and Iowa health systems in crafting concept, although reimbursement methodology has been revised</w:t>
      </w:r>
      <w:r w:rsidR="00B16C78" w:rsidRPr="003A5119">
        <w:rPr>
          <w:rFonts w:asciiTheme="majorHAnsi" w:hAnsiTheme="majorHAnsi" w:cstheme="majorHAnsi"/>
          <w:i/>
          <w:iCs/>
          <w:color w:val="FF0000"/>
          <w:sz w:val="22"/>
          <w:szCs w:val="22"/>
        </w:rPr>
        <w:t xml:space="preserve"> </w:t>
      </w:r>
    </w:p>
    <w:p w14:paraId="6E1FA12B" w14:textId="0B093003" w:rsidR="00B16C78" w:rsidRPr="00CD5DC7" w:rsidRDefault="00B16C78" w:rsidP="004C4313">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u w:val="single"/>
        </w:rPr>
      </w:pPr>
      <w:r>
        <w:rPr>
          <w:rFonts w:asciiTheme="majorHAnsi" w:hAnsiTheme="majorHAnsi" w:cstheme="majorHAnsi"/>
          <w:sz w:val="22"/>
          <w:szCs w:val="22"/>
          <w:u w:val="single"/>
        </w:rPr>
        <w:t>Rural Health Clinic (RHC) Payment Reform</w:t>
      </w:r>
      <w:r w:rsidRPr="00B16C78">
        <w:rPr>
          <w:rFonts w:asciiTheme="majorHAnsi" w:hAnsiTheme="majorHAnsi" w:cstheme="majorHAnsi"/>
          <w:sz w:val="22"/>
          <w:szCs w:val="22"/>
        </w:rPr>
        <w:t xml:space="preserve"> – </w:t>
      </w:r>
      <w:r w:rsidR="00CD5DC7">
        <w:rPr>
          <w:rFonts w:asciiTheme="majorHAnsi" w:hAnsiTheme="majorHAnsi" w:cstheme="majorHAnsi"/>
          <w:sz w:val="22"/>
          <w:szCs w:val="22"/>
        </w:rPr>
        <w:t>P</w:t>
      </w:r>
      <w:r w:rsidRPr="00B16C78">
        <w:rPr>
          <w:rFonts w:asciiTheme="majorHAnsi" w:hAnsiTheme="majorHAnsi" w:cstheme="majorHAnsi"/>
          <w:sz w:val="22"/>
          <w:szCs w:val="22"/>
        </w:rPr>
        <w:t xml:space="preserve">hases-in a steady increase in the RHC statutory cap over an </w:t>
      </w:r>
      <w:r>
        <w:rPr>
          <w:rFonts w:asciiTheme="majorHAnsi" w:hAnsiTheme="majorHAnsi" w:cstheme="majorHAnsi"/>
          <w:sz w:val="22"/>
          <w:szCs w:val="22"/>
        </w:rPr>
        <w:t>8</w:t>
      </w:r>
      <w:r w:rsidRPr="00B16C78">
        <w:rPr>
          <w:rFonts w:asciiTheme="majorHAnsi" w:hAnsiTheme="majorHAnsi" w:cstheme="majorHAnsi"/>
          <w:sz w:val="22"/>
          <w:szCs w:val="22"/>
        </w:rPr>
        <w:t>-year period, subjects all new RHCs to a uniform per-visit cap, and controls the annual rate of growth for uncapped RHCs whose payments are above the upper limit.</w:t>
      </w:r>
      <w:r>
        <w:rPr>
          <w:rFonts w:asciiTheme="majorHAnsi" w:hAnsiTheme="majorHAnsi" w:cstheme="majorHAnsi"/>
          <w:sz w:val="22"/>
          <w:szCs w:val="22"/>
        </w:rPr>
        <w:t xml:space="preserve"> </w:t>
      </w:r>
      <w:r w:rsidRPr="00B16C78">
        <w:rPr>
          <w:rFonts w:asciiTheme="majorHAnsi" w:hAnsiTheme="majorHAnsi" w:cstheme="majorHAnsi"/>
          <w:sz w:val="22"/>
          <w:szCs w:val="22"/>
        </w:rPr>
        <w:t>Specifically, the policy raises the statutory RHC cap to $100 starting on April 1, 2021, and gradually increases the upper limit each year through 2028 until the cap reaches $190.</w:t>
      </w:r>
    </w:p>
    <w:p w14:paraId="79D0620E" w14:textId="56DBAB48" w:rsidR="00536A01" w:rsidRPr="00536A01" w:rsidRDefault="00CD5DC7" w:rsidP="00F8290A">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u w:val="single"/>
        </w:rPr>
      </w:pPr>
      <w:r w:rsidRPr="00536A01">
        <w:rPr>
          <w:rFonts w:asciiTheme="majorHAnsi" w:hAnsiTheme="majorHAnsi" w:cstheme="majorHAnsi"/>
          <w:sz w:val="22"/>
          <w:szCs w:val="22"/>
          <w:u w:val="single"/>
        </w:rPr>
        <w:t>GME Rural Training Tracks (RTT) Reform</w:t>
      </w:r>
      <w:r w:rsidRPr="00536A01">
        <w:rPr>
          <w:rFonts w:asciiTheme="majorHAnsi" w:hAnsiTheme="majorHAnsi" w:cstheme="majorHAnsi"/>
          <w:sz w:val="22"/>
          <w:szCs w:val="22"/>
        </w:rPr>
        <w:t xml:space="preserve"> – Provides greater flexibility for participation. </w:t>
      </w:r>
    </w:p>
    <w:p w14:paraId="594E2103" w14:textId="77777777" w:rsidR="00340B6C" w:rsidRPr="007B7657" w:rsidRDefault="00340B6C" w:rsidP="00A44FBB">
      <w:pPr>
        <w:pStyle w:val="Default"/>
        <w:pBdr>
          <w:top w:val="single" w:sz="4" w:space="1" w:color="auto"/>
          <w:left w:val="single" w:sz="4" w:space="5" w:color="auto"/>
          <w:right w:val="single" w:sz="4" w:space="1" w:color="auto"/>
        </w:pBdr>
        <w:shd w:val="clear" w:color="auto" w:fill="C7E2FA" w:themeFill="accent1" w:themeFillTint="33"/>
        <w:rPr>
          <w:rFonts w:asciiTheme="majorHAnsi" w:hAnsiTheme="majorHAnsi" w:cstheme="majorHAnsi"/>
          <w:sz w:val="22"/>
          <w:szCs w:val="22"/>
        </w:rPr>
      </w:pPr>
      <w:r>
        <w:rPr>
          <w:rFonts w:asciiTheme="majorHAnsi" w:hAnsiTheme="majorHAnsi" w:cstheme="majorHAnsi"/>
          <w:b/>
          <w:bCs/>
          <w:sz w:val="22"/>
          <w:szCs w:val="22"/>
        </w:rPr>
        <w:t xml:space="preserve">Extenders - </w:t>
      </w:r>
    </w:p>
    <w:p w14:paraId="25554B34" w14:textId="77777777" w:rsidR="00340B6C" w:rsidRDefault="00340B6C" w:rsidP="00340B6C">
      <w:pPr>
        <w:pStyle w:val="paragraph"/>
        <w:numPr>
          <w:ilvl w:val="0"/>
          <w:numId w:val="7"/>
        </w:numPr>
        <w:pBdr>
          <w:left w:val="single" w:sz="4" w:space="23" w:color="auto"/>
          <w:bottom w:val="single" w:sz="4" w:space="1" w:color="auto"/>
          <w:right w:val="single" w:sz="4" w:space="1" w:color="auto"/>
        </w:pBdr>
        <w:spacing w:before="0" w:beforeAutospacing="0" w:after="0" w:afterAutospacing="0"/>
        <w:textAlignment w:val="baseline"/>
      </w:pPr>
      <w:r w:rsidRPr="00A44FBB">
        <w:rPr>
          <w:rStyle w:val="normaltextrun"/>
          <w:rFonts w:ascii="Calibri" w:hAnsi="Calibri" w:cs="Calibri"/>
          <w:sz w:val="22"/>
          <w:szCs w:val="22"/>
          <w:u w:val="single"/>
        </w:rPr>
        <w:t>Work geographic index floor</w:t>
      </w:r>
      <w:r>
        <w:rPr>
          <w:rStyle w:val="normaltextrun"/>
          <w:rFonts w:ascii="Calibri" w:hAnsi="Calibri" w:cs="Calibri"/>
          <w:sz w:val="22"/>
          <w:szCs w:val="22"/>
        </w:rPr>
        <w:t xml:space="preserve"> under the Medicare program was extended through December 31, 2023; </w:t>
      </w:r>
      <w:r w:rsidRPr="00F141BA">
        <w:rPr>
          <w:rStyle w:val="normaltextrun"/>
          <w:rFonts w:ascii="Calibri" w:hAnsi="Calibri" w:cs="Calibri"/>
          <w:i/>
          <w:iCs/>
          <w:color w:val="FF0000"/>
          <w:sz w:val="22"/>
          <w:szCs w:val="22"/>
        </w:rPr>
        <w:t>UPH advocacy position</w:t>
      </w:r>
    </w:p>
    <w:p w14:paraId="5432DEEF" w14:textId="77777777" w:rsidR="00340B6C" w:rsidRPr="00F141BA" w:rsidRDefault="00340B6C" w:rsidP="00340B6C">
      <w:pPr>
        <w:pStyle w:val="paragraph"/>
        <w:numPr>
          <w:ilvl w:val="0"/>
          <w:numId w:val="7"/>
        </w:numPr>
        <w:pBdr>
          <w:left w:val="single" w:sz="4" w:space="23" w:color="auto"/>
          <w:bottom w:val="single" w:sz="4" w:space="1" w:color="auto"/>
          <w:right w:val="single" w:sz="4" w:space="1" w:color="auto"/>
        </w:pBdr>
        <w:spacing w:before="0" w:beforeAutospacing="0" w:after="0" w:afterAutospacing="0"/>
        <w:textAlignment w:val="baseline"/>
        <w:rPr>
          <w:rStyle w:val="normaltextrun"/>
        </w:rPr>
      </w:pPr>
      <w:r w:rsidRPr="00A44FBB">
        <w:rPr>
          <w:rStyle w:val="normaltextrun"/>
          <w:rFonts w:ascii="Calibri" w:hAnsi="Calibri" w:cs="Calibri"/>
          <w:sz w:val="22"/>
          <w:szCs w:val="22"/>
          <w:u w:val="single"/>
        </w:rPr>
        <w:lastRenderedPageBreak/>
        <w:t>Medicaid DSH payment reduction</w:t>
      </w:r>
      <w:r>
        <w:rPr>
          <w:rStyle w:val="normaltextrun"/>
          <w:rFonts w:ascii="Calibri" w:hAnsi="Calibri" w:cs="Calibri"/>
          <w:sz w:val="22"/>
          <w:szCs w:val="22"/>
        </w:rPr>
        <w:t xml:space="preserve"> was delayed, effectively postponing DSH reductions through FY 2023. DSH reductions are subsequently extended for two additional years, resulting in planned cuts of $8 billion per year in each year FY 2024 through FY 2027. </w:t>
      </w:r>
      <w:r w:rsidRPr="00F141BA">
        <w:rPr>
          <w:rStyle w:val="normaltextrun"/>
          <w:rFonts w:ascii="Calibri" w:hAnsi="Calibri" w:cs="Calibri"/>
          <w:i/>
          <w:iCs/>
          <w:color w:val="FF0000"/>
          <w:sz w:val="22"/>
          <w:szCs w:val="22"/>
        </w:rPr>
        <w:t>AHA and UPH advocated for delay</w:t>
      </w:r>
    </w:p>
    <w:p w14:paraId="3E9F56E2" w14:textId="167D7F0B" w:rsidR="00340B6C" w:rsidRPr="00F141BA" w:rsidRDefault="00340B6C" w:rsidP="00340B6C">
      <w:pPr>
        <w:pStyle w:val="paragraph"/>
        <w:numPr>
          <w:ilvl w:val="0"/>
          <w:numId w:val="7"/>
        </w:numPr>
        <w:pBdr>
          <w:left w:val="single" w:sz="4" w:space="23" w:color="auto"/>
          <w:bottom w:val="single" w:sz="4" w:space="1" w:color="auto"/>
          <w:right w:val="single" w:sz="4" w:space="1" w:color="auto"/>
        </w:pBdr>
        <w:spacing w:before="0" w:beforeAutospacing="0" w:after="0" w:afterAutospacing="0"/>
        <w:textAlignment w:val="baseline"/>
        <w:rPr>
          <w:rStyle w:val="normaltextrun"/>
        </w:rPr>
      </w:pPr>
      <w:r>
        <w:rPr>
          <w:rStyle w:val="normaltextrun"/>
          <w:rFonts w:ascii="Calibri" w:hAnsi="Calibri" w:cs="Calibri"/>
          <w:sz w:val="22"/>
          <w:szCs w:val="22"/>
        </w:rPr>
        <w:t>“</w:t>
      </w:r>
      <w:r w:rsidRPr="00A44FBB">
        <w:rPr>
          <w:rStyle w:val="normaltextrun"/>
          <w:rFonts w:ascii="Calibri" w:hAnsi="Calibri" w:cs="Calibri"/>
          <w:sz w:val="22"/>
          <w:szCs w:val="22"/>
          <w:u w:val="single"/>
        </w:rPr>
        <w:t>Money Follows the Person</w:t>
      </w:r>
      <w:r>
        <w:rPr>
          <w:rStyle w:val="normaltextrun"/>
          <w:rFonts w:ascii="Calibri" w:hAnsi="Calibri" w:cs="Calibri"/>
          <w:sz w:val="22"/>
          <w:szCs w:val="22"/>
        </w:rPr>
        <w:t>” demonstration program is extended through</w:t>
      </w:r>
      <w:r>
        <w:rPr>
          <w:rStyle w:val="normaltextrun"/>
          <w:rFonts w:ascii="Calibri" w:hAnsi="Calibri" w:cs="Calibri"/>
          <w:color w:val="1F497D"/>
          <w:sz w:val="22"/>
          <w:szCs w:val="22"/>
        </w:rPr>
        <w:t xml:space="preserve"> </w:t>
      </w:r>
      <w:r>
        <w:rPr>
          <w:rStyle w:val="normaltextrun"/>
          <w:rFonts w:ascii="Calibri" w:hAnsi="Calibri" w:cs="Calibri"/>
          <w:sz w:val="22"/>
          <w:szCs w:val="22"/>
        </w:rPr>
        <w:t>federal fiscal year (FFY) 2023.</w:t>
      </w:r>
    </w:p>
    <w:p w14:paraId="01D4F0B3" w14:textId="45A7D9D1" w:rsidR="00340B6C" w:rsidRPr="003A5119" w:rsidRDefault="00C93FFE" w:rsidP="00340B6C">
      <w:pPr>
        <w:pStyle w:val="paragraph"/>
        <w:numPr>
          <w:ilvl w:val="0"/>
          <w:numId w:val="7"/>
        </w:numPr>
        <w:pBdr>
          <w:left w:val="single" w:sz="4" w:space="23" w:color="auto"/>
          <w:bottom w:val="single" w:sz="4" w:space="1" w:color="auto"/>
          <w:right w:val="single" w:sz="4" w:space="1" w:color="auto"/>
        </w:pBdr>
        <w:spacing w:before="0" w:beforeAutospacing="0" w:after="0" w:afterAutospacing="0"/>
        <w:textAlignment w:val="baseline"/>
        <w:rPr>
          <w:rStyle w:val="normaltextrun"/>
          <w:rFonts w:ascii="Calibri" w:hAnsi="Calibri" w:cs="Calibri"/>
          <w:sz w:val="22"/>
          <w:szCs w:val="22"/>
        </w:rPr>
      </w:pPr>
      <w:r w:rsidRPr="00C93FFE">
        <w:rPr>
          <w:rStyle w:val="normaltextrun"/>
          <w:rFonts w:ascii="Calibri" w:hAnsi="Calibri" w:cs="Calibri"/>
          <w:sz w:val="22"/>
          <w:szCs w:val="22"/>
          <w:u w:val="single"/>
        </w:rPr>
        <w:t>N</w:t>
      </w:r>
      <w:r w:rsidR="00340B6C" w:rsidRPr="00C93FFE">
        <w:rPr>
          <w:rStyle w:val="normaltextrun"/>
          <w:rFonts w:ascii="Calibri" w:hAnsi="Calibri" w:cs="Calibri"/>
          <w:sz w:val="22"/>
          <w:szCs w:val="22"/>
          <w:u w:val="single"/>
        </w:rPr>
        <w:t>onemergency medical transportation</w:t>
      </w:r>
      <w:r w:rsidR="00340B6C" w:rsidRPr="003A5119">
        <w:rPr>
          <w:rStyle w:val="normaltextrun"/>
          <w:rFonts w:ascii="Calibri" w:hAnsi="Calibri" w:cs="Calibri"/>
          <w:sz w:val="22"/>
          <w:szCs w:val="22"/>
        </w:rPr>
        <w:t xml:space="preserve"> to necessary services</w:t>
      </w:r>
      <w:r>
        <w:rPr>
          <w:rStyle w:val="normaltextrun"/>
          <w:rFonts w:ascii="Calibri" w:hAnsi="Calibri" w:cs="Calibri"/>
          <w:sz w:val="22"/>
          <w:szCs w:val="22"/>
        </w:rPr>
        <w:t xml:space="preserve"> must be covered under Medicaid.</w:t>
      </w:r>
    </w:p>
    <w:p w14:paraId="098D3192" w14:textId="6122B946" w:rsidR="00340B6C" w:rsidRDefault="00340B6C" w:rsidP="00340B6C">
      <w:pPr>
        <w:spacing w:after="0" w:line="240" w:lineRule="auto"/>
        <w:ind w:right="576"/>
        <w:rPr>
          <w:rFonts w:asciiTheme="majorHAnsi" w:hAnsiTheme="majorHAnsi" w:cstheme="majorHAnsi"/>
          <w:sz w:val="22"/>
          <w:szCs w:val="22"/>
          <w:u w:val="single"/>
        </w:rPr>
      </w:pPr>
    </w:p>
    <w:p w14:paraId="56CC2A88" w14:textId="75B0A691" w:rsidR="00CD5DC7" w:rsidRDefault="00CD5DC7" w:rsidP="00F45E64">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b/>
          <w:bCs/>
          <w:sz w:val="22"/>
          <w:szCs w:val="22"/>
        </w:rPr>
      </w:pPr>
      <w:r>
        <w:rPr>
          <w:rFonts w:asciiTheme="majorHAnsi" w:hAnsiTheme="majorHAnsi" w:cstheme="majorHAnsi"/>
          <w:b/>
          <w:bCs/>
          <w:sz w:val="22"/>
          <w:szCs w:val="22"/>
        </w:rPr>
        <w:t xml:space="preserve">Funding – </w:t>
      </w:r>
      <w:r w:rsidR="00C93FFE">
        <w:rPr>
          <w:rFonts w:asciiTheme="majorHAnsi" w:hAnsiTheme="majorHAnsi" w:cstheme="majorHAnsi"/>
          <w:b/>
          <w:bCs/>
          <w:sz w:val="22"/>
          <w:szCs w:val="22"/>
        </w:rPr>
        <w:t>Potential</w:t>
      </w:r>
      <w:r>
        <w:rPr>
          <w:rFonts w:asciiTheme="majorHAnsi" w:hAnsiTheme="majorHAnsi" w:cstheme="majorHAnsi"/>
          <w:b/>
          <w:bCs/>
          <w:sz w:val="22"/>
          <w:szCs w:val="22"/>
        </w:rPr>
        <w:t xml:space="preserve"> Grant Opportunities and Passthrough Funds</w:t>
      </w:r>
      <w:r w:rsidR="00C93FFE">
        <w:rPr>
          <w:rFonts w:asciiTheme="majorHAnsi" w:hAnsiTheme="majorHAnsi" w:cstheme="majorHAnsi"/>
          <w:b/>
          <w:bCs/>
          <w:sz w:val="22"/>
          <w:szCs w:val="22"/>
        </w:rPr>
        <w:t xml:space="preserve"> to Watch</w:t>
      </w:r>
    </w:p>
    <w:p w14:paraId="3EFB2870" w14:textId="7CF70EC9" w:rsidR="006514D2" w:rsidRDefault="007A39B5" w:rsidP="00CD5DC7">
      <w:pPr>
        <w:pStyle w:val="Default"/>
        <w:pBdr>
          <w:top w:val="single" w:sz="4" w:space="1" w:color="auto"/>
          <w:left w:val="single" w:sz="4" w:space="4" w:color="auto"/>
          <w:right w:val="single" w:sz="4" w:space="4" w:color="auto"/>
        </w:pBdr>
        <w:shd w:val="clear" w:color="auto" w:fill="FFFFFF" w:themeFill="background1"/>
        <w:rPr>
          <w:rFonts w:asciiTheme="majorHAnsi" w:hAnsiTheme="majorHAnsi" w:cstheme="majorHAnsi"/>
          <w:b/>
          <w:bCs/>
          <w:sz w:val="22"/>
          <w:szCs w:val="22"/>
        </w:rPr>
      </w:pPr>
      <w:r>
        <w:rPr>
          <w:rFonts w:asciiTheme="majorHAnsi" w:hAnsiTheme="majorHAnsi" w:cstheme="majorHAnsi"/>
          <w:b/>
          <w:bCs/>
          <w:sz w:val="22"/>
          <w:szCs w:val="22"/>
        </w:rPr>
        <w:t>Department of Health and Human Services, Public Health and Social Services Emergency Fund</w:t>
      </w:r>
    </w:p>
    <w:p w14:paraId="2CFF379F" w14:textId="35D68495" w:rsidR="007A39B5" w:rsidRPr="00B60BD1" w:rsidRDefault="00B60BD1" w:rsidP="00B60BD1">
      <w:pPr>
        <w:pStyle w:val="Default"/>
        <w:numPr>
          <w:ilvl w:val="0"/>
          <w:numId w:val="13"/>
        </w:numPr>
        <w:pBdr>
          <w:left w:val="single" w:sz="4" w:space="22" w:color="auto"/>
          <w:right w:val="single" w:sz="4" w:space="4" w:color="auto"/>
        </w:pBdr>
        <w:shd w:val="clear" w:color="auto" w:fill="FFFFFF" w:themeFill="background1"/>
        <w:rPr>
          <w:rFonts w:asciiTheme="majorHAnsi" w:hAnsiTheme="majorHAnsi" w:cstheme="majorHAnsi"/>
          <w:sz w:val="22"/>
          <w:szCs w:val="22"/>
        </w:rPr>
      </w:pPr>
      <w:r w:rsidRPr="00B60BD1">
        <w:rPr>
          <w:rFonts w:asciiTheme="majorHAnsi" w:hAnsiTheme="majorHAnsi" w:cstheme="majorHAnsi"/>
          <w:sz w:val="22"/>
          <w:szCs w:val="22"/>
        </w:rPr>
        <w:t>$25.4 billion to support testing and contact tracing, including $2.5 billion for high-risk and underserved populations</w:t>
      </w:r>
    </w:p>
    <w:p w14:paraId="3C37259E" w14:textId="617B6612" w:rsidR="007A39B5" w:rsidRDefault="007A39B5" w:rsidP="00B60BD1">
      <w:pPr>
        <w:pStyle w:val="Default"/>
        <w:pBdr>
          <w:left w:val="single" w:sz="4" w:space="4" w:color="auto"/>
          <w:right w:val="single" w:sz="4" w:space="4" w:color="auto"/>
        </w:pBdr>
        <w:shd w:val="clear" w:color="auto" w:fill="FFFFFF" w:themeFill="background1"/>
        <w:rPr>
          <w:rFonts w:asciiTheme="majorHAnsi" w:hAnsiTheme="majorHAnsi" w:cstheme="majorHAnsi"/>
          <w:b/>
          <w:bCs/>
          <w:sz w:val="22"/>
          <w:szCs w:val="22"/>
        </w:rPr>
      </w:pPr>
      <w:r w:rsidRPr="007A39B5">
        <w:rPr>
          <w:rFonts w:asciiTheme="majorHAnsi" w:hAnsiTheme="majorHAnsi" w:cstheme="majorHAnsi"/>
          <w:b/>
          <w:bCs/>
          <w:sz w:val="22"/>
          <w:szCs w:val="22"/>
        </w:rPr>
        <w:t>Assistant Secretary for Preparedness and Response</w:t>
      </w:r>
      <w:r>
        <w:rPr>
          <w:rFonts w:asciiTheme="majorHAnsi" w:hAnsiTheme="majorHAnsi" w:cstheme="majorHAnsi"/>
          <w:b/>
          <w:bCs/>
          <w:sz w:val="22"/>
          <w:szCs w:val="22"/>
        </w:rPr>
        <w:t xml:space="preserve"> - </w:t>
      </w:r>
      <w:r w:rsidRPr="007A39B5">
        <w:rPr>
          <w:rFonts w:asciiTheme="majorHAnsi" w:hAnsiTheme="majorHAnsi" w:cstheme="majorHAnsi"/>
          <w:sz w:val="22"/>
          <w:szCs w:val="22"/>
        </w:rPr>
        <w:t>$3.25 billion for the Strategic National Stockpile</w:t>
      </w:r>
    </w:p>
    <w:p w14:paraId="7AC10D82" w14:textId="66D95FA5" w:rsidR="00340B6C" w:rsidRDefault="00340B6C" w:rsidP="00B60BD1">
      <w:pPr>
        <w:pStyle w:val="Default"/>
        <w:pBdr>
          <w:left w:val="single" w:sz="4" w:space="4" w:color="auto"/>
          <w:right w:val="single" w:sz="4" w:space="4" w:color="auto"/>
        </w:pBdr>
        <w:shd w:val="clear" w:color="auto" w:fill="FFFFFF" w:themeFill="background1"/>
        <w:rPr>
          <w:rFonts w:asciiTheme="majorHAnsi" w:hAnsiTheme="majorHAnsi" w:cstheme="majorHAnsi"/>
          <w:b/>
          <w:bCs/>
          <w:sz w:val="22"/>
          <w:szCs w:val="22"/>
        </w:rPr>
      </w:pPr>
      <w:r>
        <w:rPr>
          <w:rFonts w:asciiTheme="majorHAnsi" w:hAnsiTheme="majorHAnsi" w:cstheme="majorHAnsi"/>
          <w:b/>
          <w:bCs/>
          <w:sz w:val="22"/>
          <w:szCs w:val="22"/>
        </w:rPr>
        <w:t>Centers for Disease Control and Prevention (CDC)</w:t>
      </w:r>
    </w:p>
    <w:p w14:paraId="42760C6F" w14:textId="7E432ECB" w:rsidR="006514D2" w:rsidRPr="006514D2" w:rsidRDefault="006514D2" w:rsidP="00B60BD1">
      <w:pPr>
        <w:pStyle w:val="Default"/>
        <w:numPr>
          <w:ilvl w:val="0"/>
          <w:numId w:val="11"/>
        </w:numPr>
        <w:pBdr>
          <w:left w:val="single" w:sz="4" w:space="21" w:color="auto"/>
          <w:right w:val="single" w:sz="4" w:space="4" w:color="auto"/>
        </w:pBdr>
        <w:shd w:val="clear" w:color="auto" w:fill="FFFFFF" w:themeFill="background1"/>
        <w:rPr>
          <w:rStyle w:val="normaltextrun"/>
          <w:rFonts w:ascii="Calibri" w:hAnsi="Calibri" w:cs="Calibri"/>
          <w:color w:val="auto"/>
          <w:sz w:val="22"/>
          <w:szCs w:val="22"/>
        </w:rPr>
      </w:pPr>
      <w:r w:rsidRPr="006514D2">
        <w:rPr>
          <w:rStyle w:val="normaltextrun"/>
          <w:rFonts w:ascii="Calibri" w:hAnsi="Calibri" w:cs="Calibri"/>
          <w:color w:val="auto"/>
          <w:sz w:val="22"/>
          <w:szCs w:val="22"/>
        </w:rPr>
        <w:t xml:space="preserve">$8.75 billion to support federal, state, local, territorial and tribal public health agencies to distribute, administer, monitor, and track </w:t>
      </w:r>
      <w:r w:rsidRPr="00AC1EA1">
        <w:rPr>
          <w:rStyle w:val="normaltextrun"/>
          <w:rFonts w:ascii="Calibri" w:hAnsi="Calibri" w:cs="Calibri"/>
          <w:color w:val="auto"/>
          <w:sz w:val="22"/>
          <w:szCs w:val="22"/>
          <w:u w:val="single"/>
        </w:rPr>
        <w:t>coronavirus vaccination</w:t>
      </w:r>
      <w:r w:rsidR="00AC1EA1">
        <w:rPr>
          <w:rStyle w:val="normaltextrun"/>
          <w:rFonts w:ascii="Calibri" w:hAnsi="Calibri" w:cs="Calibri"/>
          <w:color w:val="auto"/>
          <w:sz w:val="22"/>
          <w:szCs w:val="22"/>
        </w:rPr>
        <w:t>, including $4.5 billion to public health departments and $300 million for distribute and administer vaccines to high-risk and underserved populations</w:t>
      </w:r>
    </w:p>
    <w:p w14:paraId="0EE447D9" w14:textId="356A1A0C" w:rsidR="00E26A56" w:rsidRPr="00E26A56" w:rsidRDefault="00E26A56" w:rsidP="00B60BD1">
      <w:pPr>
        <w:pStyle w:val="Default"/>
        <w:numPr>
          <w:ilvl w:val="0"/>
          <w:numId w:val="11"/>
        </w:numPr>
        <w:pBdr>
          <w:left w:val="single" w:sz="4" w:space="21" w:color="auto"/>
          <w:right w:val="single" w:sz="4" w:space="4" w:color="auto"/>
        </w:pBdr>
        <w:shd w:val="clear" w:color="auto" w:fill="FFFFFF" w:themeFill="background1"/>
        <w:rPr>
          <w:rStyle w:val="normaltextrun"/>
          <w:rFonts w:ascii="Calibri" w:hAnsi="Calibri" w:cs="Calibri"/>
          <w:color w:val="auto"/>
        </w:rPr>
      </w:pPr>
      <w:r w:rsidRPr="00E26A56">
        <w:rPr>
          <w:rStyle w:val="normaltextrun"/>
          <w:rFonts w:ascii="Calibri" w:hAnsi="Calibri" w:cs="Calibri"/>
          <w:color w:val="auto"/>
          <w:sz w:val="22"/>
          <w:szCs w:val="22"/>
        </w:rPr>
        <w:t xml:space="preserve">$201 million, an increase of $25 million, for </w:t>
      </w:r>
      <w:r w:rsidRPr="00E26A56">
        <w:rPr>
          <w:rStyle w:val="normaltextrun"/>
          <w:rFonts w:ascii="Calibri" w:hAnsi="Calibri" w:cs="Calibri"/>
          <w:color w:val="auto"/>
          <w:sz w:val="22"/>
          <w:szCs w:val="22"/>
          <w:u w:val="single"/>
        </w:rPr>
        <w:t>influenza planning and response</w:t>
      </w:r>
    </w:p>
    <w:p w14:paraId="543917F5" w14:textId="2208E1E7" w:rsidR="00E26A56" w:rsidRPr="00E26A56" w:rsidRDefault="00E26A56" w:rsidP="00B60BD1">
      <w:pPr>
        <w:pStyle w:val="Default"/>
        <w:numPr>
          <w:ilvl w:val="0"/>
          <w:numId w:val="11"/>
        </w:numPr>
        <w:pBdr>
          <w:left w:val="single" w:sz="4" w:space="21" w:color="auto"/>
          <w:right w:val="single" w:sz="4" w:space="4" w:color="auto"/>
        </w:pBdr>
        <w:shd w:val="clear" w:color="auto" w:fill="FFFFFF" w:themeFill="background1"/>
        <w:rPr>
          <w:rStyle w:val="normaltextrun"/>
          <w:rFonts w:ascii="Calibri" w:hAnsi="Calibri" w:cs="Calibri"/>
          <w:color w:val="auto"/>
        </w:rPr>
      </w:pPr>
      <w:r>
        <w:rPr>
          <w:rStyle w:val="normaltextrun"/>
          <w:rFonts w:ascii="Calibri" w:hAnsi="Calibri" w:cs="Calibri"/>
          <w:color w:val="auto"/>
          <w:sz w:val="22"/>
          <w:szCs w:val="22"/>
        </w:rPr>
        <w:t>$</w:t>
      </w:r>
      <w:r w:rsidRPr="00E26A56">
        <w:rPr>
          <w:rStyle w:val="normaltextrun"/>
          <w:rFonts w:ascii="Calibri" w:hAnsi="Calibri" w:cs="Calibri"/>
          <w:color w:val="auto"/>
          <w:sz w:val="22"/>
          <w:szCs w:val="22"/>
        </w:rPr>
        <w:t xml:space="preserve">695 million, an increase of $20 million, for </w:t>
      </w:r>
      <w:r w:rsidRPr="00E26A56">
        <w:rPr>
          <w:rStyle w:val="normaltextrun"/>
          <w:rFonts w:ascii="Calibri" w:hAnsi="Calibri" w:cs="Calibri"/>
          <w:color w:val="auto"/>
          <w:sz w:val="22"/>
          <w:szCs w:val="22"/>
          <w:u w:val="single"/>
        </w:rPr>
        <w:t>public health emergency preparedness cooperative agreements</w:t>
      </w:r>
      <w:r w:rsidRPr="00E26A56">
        <w:rPr>
          <w:rStyle w:val="normaltextrun"/>
          <w:rFonts w:ascii="Calibri" w:hAnsi="Calibri" w:cs="Calibri"/>
          <w:color w:val="auto"/>
          <w:sz w:val="22"/>
          <w:szCs w:val="22"/>
        </w:rPr>
        <w:t xml:space="preserve"> with State and local health departments</w:t>
      </w:r>
    </w:p>
    <w:p w14:paraId="101DA48D" w14:textId="4D326992" w:rsidR="00E26A56" w:rsidRPr="006514D2" w:rsidRDefault="00E26A56" w:rsidP="00B60BD1">
      <w:pPr>
        <w:pStyle w:val="Default"/>
        <w:numPr>
          <w:ilvl w:val="0"/>
          <w:numId w:val="11"/>
        </w:numPr>
        <w:pBdr>
          <w:left w:val="single" w:sz="4" w:space="21" w:color="auto"/>
          <w:right w:val="single" w:sz="4" w:space="4" w:color="auto"/>
        </w:pBdr>
        <w:shd w:val="clear" w:color="auto" w:fill="FFFFFF" w:themeFill="background1"/>
        <w:rPr>
          <w:rStyle w:val="normaltextrun"/>
          <w:rFonts w:ascii="Calibri" w:hAnsi="Calibri" w:cs="Calibri"/>
          <w:color w:val="auto"/>
          <w:sz w:val="22"/>
          <w:szCs w:val="22"/>
        </w:rPr>
      </w:pPr>
      <w:r w:rsidRPr="006514D2">
        <w:rPr>
          <w:rStyle w:val="normaltextrun"/>
          <w:rFonts w:ascii="Calibri" w:hAnsi="Calibri" w:cs="Calibri"/>
          <w:color w:val="auto"/>
          <w:sz w:val="22"/>
          <w:szCs w:val="22"/>
        </w:rPr>
        <w:t xml:space="preserve">$361 million, an increase of $7.5 million, to strengthen </w:t>
      </w:r>
      <w:r w:rsidRPr="006514D2">
        <w:rPr>
          <w:rStyle w:val="normaltextrun"/>
          <w:rFonts w:ascii="Calibri" w:hAnsi="Calibri" w:cs="Calibri"/>
          <w:color w:val="auto"/>
          <w:sz w:val="22"/>
          <w:szCs w:val="22"/>
          <w:u w:val="single"/>
        </w:rPr>
        <w:t>epidemiologic and laboratory capacity</w:t>
      </w:r>
      <w:r w:rsidRPr="006514D2">
        <w:rPr>
          <w:rStyle w:val="normaltextrun"/>
          <w:rFonts w:ascii="Calibri" w:hAnsi="Calibri" w:cs="Calibri"/>
          <w:color w:val="auto"/>
          <w:sz w:val="22"/>
          <w:szCs w:val="22"/>
        </w:rPr>
        <w:t xml:space="preserve">, and includes $50 million to support </w:t>
      </w:r>
      <w:r w:rsidRPr="006514D2">
        <w:rPr>
          <w:rStyle w:val="normaltextrun"/>
          <w:rFonts w:ascii="Calibri" w:hAnsi="Calibri" w:cs="Calibri"/>
          <w:color w:val="auto"/>
          <w:sz w:val="22"/>
          <w:szCs w:val="22"/>
          <w:u w:val="single"/>
        </w:rPr>
        <w:t>modernization of public health data surveillance and analytics</w:t>
      </w:r>
      <w:r w:rsidRPr="006514D2">
        <w:rPr>
          <w:rStyle w:val="normaltextrun"/>
          <w:rFonts w:ascii="Calibri" w:hAnsi="Calibri" w:cs="Calibri"/>
          <w:color w:val="auto"/>
          <w:sz w:val="22"/>
          <w:szCs w:val="22"/>
        </w:rPr>
        <w:t xml:space="preserve"> at CDC, State and local health departments</w:t>
      </w:r>
    </w:p>
    <w:p w14:paraId="7426810E" w14:textId="0DA9FBED" w:rsidR="00340B6C" w:rsidRDefault="00E26A56" w:rsidP="00B60BD1">
      <w:pPr>
        <w:pStyle w:val="Default"/>
        <w:numPr>
          <w:ilvl w:val="0"/>
          <w:numId w:val="11"/>
        </w:numPr>
        <w:pBdr>
          <w:left w:val="single" w:sz="4" w:space="21" w:color="auto"/>
          <w:right w:val="single" w:sz="4" w:space="4" w:color="auto"/>
        </w:pBdr>
        <w:shd w:val="clear" w:color="auto" w:fill="FFFFFF" w:themeFill="background1"/>
        <w:rPr>
          <w:rFonts w:asciiTheme="majorHAnsi" w:hAnsiTheme="majorHAnsi" w:cstheme="majorHAnsi"/>
          <w:b/>
          <w:bCs/>
          <w:sz w:val="22"/>
          <w:szCs w:val="22"/>
        </w:rPr>
      </w:pPr>
      <w:r w:rsidRPr="00E26A56">
        <w:rPr>
          <w:rStyle w:val="normaltextrun"/>
          <w:rFonts w:ascii="Calibri" w:hAnsi="Calibri" w:cs="Calibri"/>
          <w:color w:val="auto"/>
          <w:sz w:val="22"/>
          <w:szCs w:val="22"/>
        </w:rPr>
        <w:t>$</w:t>
      </w:r>
      <w:r w:rsidR="00C93FFE" w:rsidRPr="00E26A56">
        <w:rPr>
          <w:rStyle w:val="normaltextrun"/>
          <w:rFonts w:ascii="Calibri" w:hAnsi="Calibri" w:cs="Calibri"/>
          <w:color w:val="auto"/>
          <w:sz w:val="22"/>
          <w:szCs w:val="22"/>
        </w:rPr>
        <w:t xml:space="preserve">56 million, an increase of $5 million, for </w:t>
      </w:r>
      <w:r w:rsidR="00C93FFE" w:rsidRPr="00E26A56">
        <w:rPr>
          <w:rStyle w:val="normaltextrun"/>
          <w:rFonts w:ascii="Calibri" w:hAnsi="Calibri" w:cs="Calibri"/>
          <w:color w:val="auto"/>
          <w:sz w:val="22"/>
          <w:szCs w:val="22"/>
          <w:u w:val="single"/>
        </w:rPr>
        <w:t>public health workforce and career development</w:t>
      </w:r>
    </w:p>
    <w:p w14:paraId="078F3700" w14:textId="1717D1E2" w:rsidR="00340B6C" w:rsidRDefault="00340B6C" w:rsidP="00C93FFE">
      <w:pPr>
        <w:pStyle w:val="Default"/>
        <w:pBdr>
          <w:left w:val="single" w:sz="4" w:space="4" w:color="auto"/>
          <w:right w:val="single" w:sz="4" w:space="4" w:color="auto"/>
        </w:pBdr>
        <w:shd w:val="clear" w:color="auto" w:fill="FFFFFF" w:themeFill="background1"/>
        <w:rPr>
          <w:rFonts w:asciiTheme="majorHAnsi" w:hAnsiTheme="majorHAnsi" w:cstheme="majorHAnsi"/>
          <w:b/>
          <w:bCs/>
          <w:sz w:val="22"/>
          <w:szCs w:val="22"/>
        </w:rPr>
      </w:pPr>
      <w:r>
        <w:rPr>
          <w:rFonts w:asciiTheme="majorHAnsi" w:hAnsiTheme="majorHAnsi" w:cstheme="majorHAnsi"/>
          <w:b/>
          <w:bCs/>
          <w:sz w:val="22"/>
          <w:szCs w:val="22"/>
        </w:rPr>
        <w:t>Substance Abuse and Mental Health Services Administration (SA</w:t>
      </w:r>
      <w:r w:rsidR="00C93FFE">
        <w:rPr>
          <w:rFonts w:asciiTheme="majorHAnsi" w:hAnsiTheme="majorHAnsi" w:cstheme="majorHAnsi"/>
          <w:b/>
          <w:bCs/>
          <w:sz w:val="22"/>
          <w:szCs w:val="22"/>
        </w:rPr>
        <w:t>M</w:t>
      </w:r>
      <w:r>
        <w:rPr>
          <w:rFonts w:asciiTheme="majorHAnsi" w:hAnsiTheme="majorHAnsi" w:cstheme="majorHAnsi"/>
          <w:b/>
          <w:bCs/>
          <w:sz w:val="22"/>
          <w:szCs w:val="22"/>
        </w:rPr>
        <w:t>HSA)</w:t>
      </w:r>
    </w:p>
    <w:p w14:paraId="07DB839A" w14:textId="7A6238EF" w:rsidR="00C93FFE" w:rsidRPr="00E26A56" w:rsidRDefault="00E26A56" w:rsidP="00EF4849">
      <w:pPr>
        <w:pStyle w:val="Default"/>
        <w:numPr>
          <w:ilvl w:val="0"/>
          <w:numId w:val="12"/>
        </w:numPr>
        <w:pBdr>
          <w:left w:val="single" w:sz="4" w:space="22" w:color="auto"/>
          <w:right w:val="single" w:sz="4" w:space="4" w:color="auto"/>
        </w:pBdr>
        <w:shd w:val="clear" w:color="auto" w:fill="FFFFFF" w:themeFill="background1"/>
        <w:rPr>
          <w:rFonts w:asciiTheme="majorHAnsi" w:hAnsiTheme="majorHAnsi" w:cstheme="majorHAnsi"/>
          <w:sz w:val="22"/>
          <w:szCs w:val="22"/>
        </w:rPr>
      </w:pPr>
      <w:r w:rsidRPr="00E26A56">
        <w:rPr>
          <w:rFonts w:asciiTheme="majorHAnsi" w:hAnsiTheme="majorHAnsi" w:cstheme="majorHAnsi"/>
          <w:sz w:val="22"/>
          <w:szCs w:val="22"/>
          <w:u w:val="single"/>
        </w:rPr>
        <w:t>Mental health resources</w:t>
      </w:r>
      <w:r>
        <w:rPr>
          <w:rFonts w:asciiTheme="majorHAnsi" w:hAnsiTheme="majorHAnsi" w:cstheme="majorHAnsi"/>
          <w:sz w:val="22"/>
          <w:szCs w:val="22"/>
        </w:rPr>
        <w:t>:</w:t>
      </w:r>
      <w:r w:rsidRPr="00E26A56">
        <w:rPr>
          <w:rFonts w:asciiTheme="majorHAnsi" w:hAnsiTheme="majorHAnsi" w:cstheme="majorHAnsi"/>
          <w:sz w:val="22"/>
          <w:szCs w:val="22"/>
        </w:rPr>
        <w:t xml:space="preserve"> including a new $35 million crisis care initiative within the Mental Health Block Grant; and expanded services and support for mental for children and youth including $107 million for Project AWARE, an increase of $5 million; and $72 million for the National Child Traumatic Stress Initiative, an increase of $3 million</w:t>
      </w:r>
    </w:p>
    <w:p w14:paraId="0661CBE2" w14:textId="252F33BE" w:rsidR="00E26A56" w:rsidRPr="00E26A56" w:rsidRDefault="00E26A56" w:rsidP="00EF4849">
      <w:pPr>
        <w:pStyle w:val="Default"/>
        <w:numPr>
          <w:ilvl w:val="0"/>
          <w:numId w:val="12"/>
        </w:numPr>
        <w:pBdr>
          <w:left w:val="single" w:sz="4" w:space="22" w:color="auto"/>
          <w:right w:val="single" w:sz="4" w:space="4" w:color="auto"/>
        </w:pBdr>
        <w:shd w:val="clear" w:color="auto" w:fill="FFFFFF" w:themeFill="background1"/>
        <w:rPr>
          <w:rFonts w:asciiTheme="majorHAnsi" w:hAnsiTheme="majorHAnsi" w:cstheme="majorHAnsi"/>
          <w:sz w:val="22"/>
          <w:szCs w:val="22"/>
        </w:rPr>
      </w:pPr>
      <w:r w:rsidRPr="00E26A56">
        <w:rPr>
          <w:rFonts w:asciiTheme="majorHAnsi" w:hAnsiTheme="majorHAnsi" w:cstheme="majorHAnsi"/>
          <w:sz w:val="22"/>
          <w:szCs w:val="22"/>
          <w:u w:val="single"/>
        </w:rPr>
        <w:t>Suicide prevention</w:t>
      </w:r>
      <w:r>
        <w:rPr>
          <w:rFonts w:asciiTheme="majorHAnsi" w:hAnsiTheme="majorHAnsi" w:cstheme="majorHAnsi"/>
          <w:sz w:val="22"/>
          <w:szCs w:val="22"/>
        </w:rPr>
        <w:t>:</w:t>
      </w:r>
      <w:r w:rsidRPr="00E26A56">
        <w:rPr>
          <w:rFonts w:asciiTheme="majorHAnsi" w:hAnsiTheme="majorHAnsi" w:cstheme="majorHAnsi"/>
          <w:sz w:val="22"/>
          <w:szCs w:val="22"/>
        </w:rPr>
        <w:t xml:space="preserve"> including $21 million for the Zero Suicide program, an increase of $5 million; and $24 million for the Suicide Lifeline, an increase of $5 million</w:t>
      </w:r>
    </w:p>
    <w:p w14:paraId="08CBD204" w14:textId="0A15F841" w:rsidR="00E26A56" w:rsidRPr="00E26A56" w:rsidRDefault="00E26A56" w:rsidP="00EF4849">
      <w:pPr>
        <w:pStyle w:val="Default"/>
        <w:numPr>
          <w:ilvl w:val="0"/>
          <w:numId w:val="12"/>
        </w:numPr>
        <w:pBdr>
          <w:left w:val="single" w:sz="4" w:space="22" w:color="auto"/>
          <w:right w:val="single" w:sz="4" w:space="4" w:color="auto"/>
        </w:pBdr>
        <w:shd w:val="clear" w:color="auto" w:fill="FFFFFF" w:themeFill="background1"/>
        <w:rPr>
          <w:rFonts w:asciiTheme="majorHAnsi" w:hAnsiTheme="majorHAnsi" w:cstheme="majorHAnsi"/>
          <w:sz w:val="22"/>
          <w:szCs w:val="22"/>
        </w:rPr>
      </w:pPr>
      <w:r w:rsidRPr="00E26A56">
        <w:rPr>
          <w:rFonts w:asciiTheme="majorHAnsi" w:hAnsiTheme="majorHAnsi" w:cstheme="majorHAnsi"/>
          <w:sz w:val="22"/>
          <w:szCs w:val="22"/>
          <w:u w:val="single"/>
        </w:rPr>
        <w:t>Substance abuse treatment</w:t>
      </w:r>
      <w:r w:rsidRPr="00E26A56">
        <w:rPr>
          <w:rFonts w:asciiTheme="majorHAnsi" w:hAnsiTheme="majorHAnsi" w:cstheme="majorHAnsi"/>
          <w:sz w:val="22"/>
          <w:szCs w:val="22"/>
        </w:rPr>
        <w:t>: $3.8 billion, an increase of $17 million, including continued funding for opioid prevention and treatment</w:t>
      </w:r>
    </w:p>
    <w:p w14:paraId="07E18486" w14:textId="207B628A" w:rsidR="00E26A56" w:rsidRPr="00E26A56" w:rsidRDefault="00E26A56" w:rsidP="00EF4849">
      <w:pPr>
        <w:pStyle w:val="Default"/>
        <w:numPr>
          <w:ilvl w:val="0"/>
          <w:numId w:val="12"/>
        </w:numPr>
        <w:pBdr>
          <w:left w:val="single" w:sz="4" w:space="22" w:color="auto"/>
          <w:right w:val="single" w:sz="4" w:space="4" w:color="auto"/>
        </w:pBdr>
        <w:shd w:val="clear" w:color="auto" w:fill="FFFFFF" w:themeFill="background1"/>
        <w:rPr>
          <w:rFonts w:asciiTheme="majorHAnsi" w:hAnsiTheme="majorHAnsi" w:cstheme="majorHAnsi"/>
          <w:sz w:val="22"/>
          <w:szCs w:val="22"/>
        </w:rPr>
      </w:pPr>
      <w:r w:rsidRPr="00E26A56">
        <w:rPr>
          <w:rFonts w:asciiTheme="majorHAnsi" w:hAnsiTheme="majorHAnsi" w:cstheme="majorHAnsi"/>
          <w:sz w:val="22"/>
          <w:szCs w:val="22"/>
          <w:u w:val="single"/>
        </w:rPr>
        <w:t>Substance abuse prevention</w:t>
      </w:r>
      <w:r w:rsidRPr="00E26A56">
        <w:rPr>
          <w:rFonts w:asciiTheme="majorHAnsi" w:hAnsiTheme="majorHAnsi" w:cstheme="majorHAnsi"/>
          <w:sz w:val="22"/>
          <w:szCs w:val="22"/>
        </w:rPr>
        <w:t>: $208 million, an increase of $2 million</w:t>
      </w:r>
    </w:p>
    <w:p w14:paraId="74F1D484" w14:textId="0B545CC7" w:rsidR="00340B6C" w:rsidRDefault="00340B6C" w:rsidP="00EF4849">
      <w:pPr>
        <w:pStyle w:val="Default"/>
        <w:pBdr>
          <w:left w:val="single" w:sz="4" w:space="4" w:color="auto"/>
          <w:right w:val="single" w:sz="4" w:space="4" w:color="auto"/>
        </w:pBdr>
        <w:shd w:val="clear" w:color="auto" w:fill="FFFFFF" w:themeFill="background1"/>
        <w:rPr>
          <w:rFonts w:asciiTheme="majorHAnsi" w:hAnsiTheme="majorHAnsi" w:cstheme="majorHAnsi"/>
          <w:b/>
          <w:bCs/>
          <w:sz w:val="22"/>
          <w:szCs w:val="22"/>
        </w:rPr>
      </w:pPr>
      <w:r>
        <w:rPr>
          <w:rFonts w:asciiTheme="majorHAnsi" w:hAnsiTheme="majorHAnsi" w:cstheme="majorHAnsi"/>
          <w:b/>
          <w:bCs/>
          <w:sz w:val="22"/>
          <w:szCs w:val="22"/>
        </w:rPr>
        <w:t>Health Resources and Services Administration (HRSA)</w:t>
      </w:r>
    </w:p>
    <w:p w14:paraId="5E1B7D65" w14:textId="40081466" w:rsidR="00C93FFE" w:rsidRPr="00E26A56" w:rsidRDefault="00E26A56" w:rsidP="00EF4849">
      <w:pPr>
        <w:pStyle w:val="ListParagraph"/>
        <w:numPr>
          <w:ilvl w:val="0"/>
          <w:numId w:val="6"/>
        </w:numPr>
        <w:pBdr>
          <w:left w:val="single" w:sz="4" w:space="22" w:color="auto"/>
          <w:right w:val="single" w:sz="4" w:space="31" w:color="auto"/>
        </w:pBdr>
        <w:spacing w:line="240" w:lineRule="auto"/>
        <w:ind w:right="576"/>
        <w:rPr>
          <w:rFonts w:asciiTheme="majorHAnsi" w:hAnsiTheme="majorHAnsi" w:cstheme="majorHAnsi"/>
          <w:sz w:val="22"/>
          <w:szCs w:val="22"/>
        </w:rPr>
      </w:pPr>
      <w:r w:rsidRPr="00E26A56">
        <w:rPr>
          <w:rFonts w:asciiTheme="majorHAnsi" w:hAnsiTheme="majorHAnsi" w:cstheme="majorHAnsi"/>
          <w:sz w:val="22"/>
          <w:szCs w:val="22"/>
        </w:rPr>
        <w:t xml:space="preserve">$1.2 billion, an increase of $30 million, for </w:t>
      </w:r>
      <w:r w:rsidRPr="00E26A56">
        <w:rPr>
          <w:rFonts w:asciiTheme="majorHAnsi" w:hAnsiTheme="majorHAnsi" w:cstheme="majorHAnsi"/>
          <w:sz w:val="22"/>
          <w:szCs w:val="22"/>
          <w:u w:val="single"/>
        </w:rPr>
        <w:t>Bureau of Health Professions programs</w:t>
      </w:r>
      <w:r w:rsidRPr="00E26A56">
        <w:rPr>
          <w:rFonts w:asciiTheme="majorHAnsi" w:hAnsiTheme="majorHAnsi" w:cstheme="majorHAnsi"/>
          <w:sz w:val="22"/>
          <w:szCs w:val="22"/>
        </w:rPr>
        <w:t xml:space="preserve"> to support the medical workforce.</w:t>
      </w:r>
    </w:p>
    <w:p w14:paraId="0D5586CC" w14:textId="60C8C452" w:rsidR="00C93FFE" w:rsidRPr="00E26A56" w:rsidRDefault="00E26A56" w:rsidP="00EF4849">
      <w:pPr>
        <w:pStyle w:val="ListParagraph"/>
        <w:numPr>
          <w:ilvl w:val="0"/>
          <w:numId w:val="6"/>
        </w:numPr>
        <w:pBdr>
          <w:left w:val="single" w:sz="4" w:space="22" w:color="auto"/>
          <w:right w:val="single" w:sz="4" w:space="31" w:color="auto"/>
        </w:pBdr>
        <w:spacing w:line="240" w:lineRule="auto"/>
        <w:ind w:right="576"/>
        <w:rPr>
          <w:rFonts w:asciiTheme="majorHAnsi" w:hAnsiTheme="majorHAnsi" w:cstheme="majorHAnsi"/>
          <w:sz w:val="22"/>
          <w:szCs w:val="22"/>
        </w:rPr>
      </w:pPr>
      <w:r w:rsidRPr="00E26A56">
        <w:rPr>
          <w:rFonts w:asciiTheme="majorHAnsi" w:hAnsiTheme="majorHAnsi" w:cstheme="majorHAnsi"/>
          <w:sz w:val="22"/>
          <w:szCs w:val="22"/>
        </w:rPr>
        <w:t xml:space="preserve">$975 million, an increase of $32 million, for programs to improve </w:t>
      </w:r>
      <w:r w:rsidRPr="00E26A56">
        <w:rPr>
          <w:rFonts w:asciiTheme="majorHAnsi" w:hAnsiTheme="majorHAnsi" w:cstheme="majorHAnsi"/>
          <w:sz w:val="22"/>
          <w:szCs w:val="22"/>
          <w:u w:val="single"/>
        </w:rPr>
        <w:t>maternal and child health</w:t>
      </w:r>
      <w:r w:rsidRPr="00E26A56">
        <w:rPr>
          <w:rFonts w:asciiTheme="majorHAnsi" w:hAnsiTheme="majorHAnsi" w:cstheme="majorHAnsi"/>
          <w:sz w:val="22"/>
          <w:szCs w:val="22"/>
        </w:rPr>
        <w:t>.</w:t>
      </w:r>
    </w:p>
    <w:p w14:paraId="7D94E2FF" w14:textId="23D202C0" w:rsidR="00C93FFE" w:rsidRPr="00E26A56" w:rsidRDefault="00E26A56" w:rsidP="00EF4849">
      <w:pPr>
        <w:pStyle w:val="ListParagraph"/>
        <w:numPr>
          <w:ilvl w:val="0"/>
          <w:numId w:val="6"/>
        </w:numPr>
        <w:pBdr>
          <w:left w:val="single" w:sz="4" w:space="22" w:color="auto"/>
          <w:right w:val="single" w:sz="4" w:space="31" w:color="auto"/>
        </w:pBdr>
        <w:spacing w:after="0" w:line="240" w:lineRule="auto"/>
        <w:ind w:right="576"/>
        <w:rPr>
          <w:rFonts w:asciiTheme="majorHAnsi" w:hAnsiTheme="majorHAnsi" w:cstheme="majorHAnsi"/>
          <w:sz w:val="22"/>
          <w:szCs w:val="22"/>
        </w:rPr>
      </w:pPr>
      <w:r w:rsidRPr="00E26A56">
        <w:rPr>
          <w:rFonts w:asciiTheme="majorHAnsi" w:hAnsiTheme="majorHAnsi" w:cstheme="majorHAnsi"/>
          <w:sz w:val="22"/>
          <w:szCs w:val="22"/>
        </w:rPr>
        <w:t xml:space="preserve">$286 million for the </w:t>
      </w:r>
      <w:r w:rsidRPr="00E26A56">
        <w:rPr>
          <w:rFonts w:asciiTheme="majorHAnsi" w:hAnsiTheme="majorHAnsi" w:cstheme="majorHAnsi"/>
          <w:sz w:val="22"/>
          <w:szCs w:val="22"/>
          <w:u w:val="single"/>
        </w:rPr>
        <w:t>Title X Family Planning program</w:t>
      </w:r>
      <w:r w:rsidRPr="00E26A56">
        <w:rPr>
          <w:rFonts w:asciiTheme="majorHAnsi" w:hAnsiTheme="majorHAnsi" w:cstheme="majorHAnsi"/>
          <w:sz w:val="22"/>
          <w:szCs w:val="22"/>
        </w:rPr>
        <w:t>.</w:t>
      </w:r>
    </w:p>
    <w:p w14:paraId="12800211" w14:textId="5ABC0428" w:rsidR="00EF4849" w:rsidRPr="00EF4849" w:rsidRDefault="00EF4849" w:rsidP="00EF4849">
      <w:pPr>
        <w:pStyle w:val="Default"/>
        <w:pBdr>
          <w:left w:val="single" w:sz="4" w:space="4" w:color="auto"/>
          <w:right w:val="single" w:sz="4" w:space="4" w:color="auto"/>
        </w:pBdr>
        <w:shd w:val="clear" w:color="auto" w:fill="FFFFFF" w:themeFill="background1"/>
        <w:rPr>
          <w:rFonts w:asciiTheme="majorHAnsi" w:hAnsiTheme="majorHAnsi" w:cstheme="majorHAnsi"/>
          <w:b/>
          <w:bCs/>
          <w:sz w:val="22"/>
          <w:szCs w:val="22"/>
        </w:rPr>
      </w:pPr>
      <w:r>
        <w:rPr>
          <w:rFonts w:asciiTheme="majorHAnsi" w:hAnsiTheme="majorHAnsi" w:cstheme="majorHAnsi"/>
          <w:b/>
          <w:bCs/>
          <w:sz w:val="22"/>
          <w:szCs w:val="22"/>
        </w:rPr>
        <w:t xml:space="preserve">Broadband Access </w:t>
      </w:r>
      <w:r w:rsidRPr="00EF4849">
        <w:rPr>
          <w:rFonts w:asciiTheme="majorHAnsi" w:hAnsiTheme="majorHAnsi" w:cstheme="majorHAnsi"/>
          <w:b/>
          <w:bCs/>
          <w:sz w:val="22"/>
          <w:szCs w:val="22"/>
        </w:rPr>
        <w:t>via different agencies</w:t>
      </w:r>
    </w:p>
    <w:p w14:paraId="7F78B13C" w14:textId="62783CD7" w:rsidR="00383D01" w:rsidRPr="00F45E64" w:rsidRDefault="00340B6C" w:rsidP="007943C3">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i/>
          <w:iCs/>
          <w:sz w:val="22"/>
          <w:szCs w:val="22"/>
        </w:rPr>
      </w:pPr>
      <w:r>
        <w:rPr>
          <w:rFonts w:asciiTheme="majorHAnsi" w:hAnsiTheme="majorHAnsi" w:cstheme="majorHAnsi"/>
          <w:sz w:val="22"/>
          <w:szCs w:val="22"/>
        </w:rPr>
        <w:t>F</w:t>
      </w:r>
      <w:r w:rsidR="00395689">
        <w:rPr>
          <w:rFonts w:asciiTheme="majorHAnsi" w:hAnsiTheme="majorHAnsi" w:cstheme="majorHAnsi"/>
          <w:sz w:val="22"/>
          <w:szCs w:val="22"/>
        </w:rPr>
        <w:t xml:space="preserve">ederal </w:t>
      </w:r>
      <w:r>
        <w:rPr>
          <w:rFonts w:asciiTheme="majorHAnsi" w:hAnsiTheme="majorHAnsi" w:cstheme="majorHAnsi"/>
          <w:sz w:val="22"/>
          <w:szCs w:val="22"/>
        </w:rPr>
        <w:t>C</w:t>
      </w:r>
      <w:r w:rsidR="00395689">
        <w:rPr>
          <w:rFonts w:asciiTheme="majorHAnsi" w:hAnsiTheme="majorHAnsi" w:cstheme="majorHAnsi"/>
          <w:sz w:val="22"/>
          <w:szCs w:val="22"/>
        </w:rPr>
        <w:t xml:space="preserve">ommunications </w:t>
      </w:r>
      <w:r>
        <w:rPr>
          <w:rFonts w:asciiTheme="majorHAnsi" w:hAnsiTheme="majorHAnsi" w:cstheme="majorHAnsi"/>
          <w:sz w:val="22"/>
          <w:szCs w:val="22"/>
        </w:rPr>
        <w:t>C</w:t>
      </w:r>
      <w:r w:rsidR="00395689">
        <w:rPr>
          <w:rFonts w:asciiTheme="majorHAnsi" w:hAnsiTheme="majorHAnsi" w:cstheme="majorHAnsi"/>
          <w:sz w:val="22"/>
          <w:szCs w:val="22"/>
        </w:rPr>
        <w:t>ommission (FCC):</w:t>
      </w:r>
      <w:r>
        <w:rPr>
          <w:rFonts w:asciiTheme="majorHAnsi" w:hAnsiTheme="majorHAnsi" w:cstheme="majorHAnsi"/>
          <w:sz w:val="22"/>
          <w:szCs w:val="22"/>
        </w:rPr>
        <w:t xml:space="preserve"> </w:t>
      </w:r>
      <w:r w:rsidR="00383D01" w:rsidRPr="007B7657">
        <w:rPr>
          <w:rFonts w:asciiTheme="majorHAnsi" w:hAnsiTheme="majorHAnsi" w:cstheme="majorHAnsi"/>
          <w:sz w:val="22"/>
          <w:szCs w:val="22"/>
        </w:rPr>
        <w:t xml:space="preserve">$250 million </w:t>
      </w:r>
      <w:r w:rsidR="00450163" w:rsidRPr="007B7657">
        <w:rPr>
          <w:rFonts w:asciiTheme="majorHAnsi" w:hAnsiTheme="majorHAnsi" w:cstheme="majorHAnsi"/>
          <w:sz w:val="22"/>
          <w:szCs w:val="22"/>
        </w:rPr>
        <w:t xml:space="preserve">– </w:t>
      </w:r>
      <w:r w:rsidR="00383D01" w:rsidRPr="00F45E64">
        <w:rPr>
          <w:rFonts w:asciiTheme="majorHAnsi" w:hAnsiTheme="majorHAnsi" w:cstheme="majorHAnsi"/>
          <w:sz w:val="22"/>
          <w:szCs w:val="22"/>
          <w:u w:val="single"/>
        </w:rPr>
        <w:t>COVID-19 Telehealth Program</w:t>
      </w:r>
      <w:r w:rsidR="007B7657" w:rsidRPr="007B7657">
        <w:rPr>
          <w:rFonts w:asciiTheme="majorHAnsi" w:hAnsiTheme="majorHAnsi" w:cstheme="majorHAnsi"/>
          <w:sz w:val="22"/>
          <w:szCs w:val="22"/>
        </w:rPr>
        <w:t xml:space="preserve">; </w:t>
      </w:r>
      <w:r w:rsidR="007B7657" w:rsidRPr="00F45E64">
        <w:rPr>
          <w:rFonts w:asciiTheme="majorHAnsi" w:hAnsiTheme="majorHAnsi" w:cstheme="majorHAnsi"/>
          <w:i/>
          <w:iCs/>
          <w:color w:val="FF0000"/>
          <w:sz w:val="22"/>
          <w:szCs w:val="22"/>
        </w:rPr>
        <w:t>UPH had pending grant application when fund depleted</w:t>
      </w:r>
    </w:p>
    <w:p w14:paraId="4BB2F07A" w14:textId="458E9168" w:rsidR="00383D01" w:rsidRPr="00C93FFE" w:rsidRDefault="00340B6C" w:rsidP="007943C3">
      <w:pPr>
        <w:pStyle w:val="ListParagraph"/>
        <w:numPr>
          <w:ilvl w:val="0"/>
          <w:numId w:val="6"/>
        </w:numPr>
        <w:pBdr>
          <w:left w:val="single" w:sz="4" w:space="22" w:color="auto"/>
          <w:bottom w:val="single" w:sz="4" w:space="1" w:color="auto"/>
          <w:right w:val="single" w:sz="4" w:space="31" w:color="auto"/>
        </w:pBdr>
        <w:spacing w:line="240" w:lineRule="auto"/>
        <w:ind w:right="576"/>
        <w:rPr>
          <w:rFonts w:asciiTheme="majorHAnsi" w:hAnsiTheme="majorHAnsi" w:cstheme="majorHAnsi"/>
          <w:sz w:val="22"/>
          <w:szCs w:val="22"/>
        </w:rPr>
      </w:pPr>
      <w:r>
        <w:rPr>
          <w:rFonts w:asciiTheme="majorHAnsi" w:hAnsiTheme="majorHAnsi" w:cstheme="majorHAnsi"/>
          <w:sz w:val="22"/>
          <w:szCs w:val="22"/>
        </w:rPr>
        <w:t>U</w:t>
      </w:r>
      <w:r w:rsidR="00395689">
        <w:rPr>
          <w:rFonts w:asciiTheme="majorHAnsi" w:hAnsiTheme="majorHAnsi" w:cstheme="majorHAnsi"/>
          <w:sz w:val="22"/>
          <w:szCs w:val="22"/>
        </w:rPr>
        <w:t>nited States Department of Agriculture (U</w:t>
      </w:r>
      <w:r>
        <w:rPr>
          <w:rFonts w:asciiTheme="majorHAnsi" w:hAnsiTheme="majorHAnsi" w:cstheme="majorHAnsi"/>
          <w:sz w:val="22"/>
          <w:szCs w:val="22"/>
        </w:rPr>
        <w:t>SDA</w:t>
      </w:r>
      <w:r w:rsidR="00395689">
        <w:rPr>
          <w:rFonts w:asciiTheme="majorHAnsi" w:hAnsiTheme="majorHAnsi" w:cstheme="majorHAnsi"/>
          <w:sz w:val="22"/>
          <w:szCs w:val="22"/>
        </w:rPr>
        <w:t>):</w:t>
      </w:r>
      <w:r>
        <w:rPr>
          <w:rFonts w:asciiTheme="majorHAnsi" w:hAnsiTheme="majorHAnsi" w:cstheme="majorHAnsi"/>
          <w:sz w:val="22"/>
          <w:szCs w:val="22"/>
        </w:rPr>
        <w:t xml:space="preserve"> </w:t>
      </w:r>
      <w:r w:rsidR="00383D01" w:rsidRPr="007B7657">
        <w:rPr>
          <w:rFonts w:asciiTheme="majorHAnsi" w:hAnsiTheme="majorHAnsi" w:cstheme="majorHAnsi"/>
          <w:sz w:val="22"/>
          <w:szCs w:val="22"/>
        </w:rPr>
        <w:t xml:space="preserve">$300 million </w:t>
      </w:r>
      <w:r w:rsidR="00450163" w:rsidRPr="007B7657">
        <w:rPr>
          <w:rFonts w:asciiTheme="majorHAnsi" w:hAnsiTheme="majorHAnsi" w:cstheme="majorHAnsi"/>
          <w:sz w:val="22"/>
          <w:szCs w:val="22"/>
        </w:rPr>
        <w:t xml:space="preserve">– </w:t>
      </w:r>
      <w:r w:rsidR="00383D01" w:rsidRPr="00F45E64">
        <w:rPr>
          <w:rFonts w:asciiTheme="majorHAnsi" w:hAnsiTheme="majorHAnsi" w:cstheme="majorHAnsi"/>
          <w:sz w:val="22"/>
          <w:szCs w:val="22"/>
          <w:u w:val="single"/>
        </w:rPr>
        <w:t>broadband deployment program</w:t>
      </w:r>
      <w:r w:rsidR="00383D01" w:rsidRPr="007B7657">
        <w:rPr>
          <w:rFonts w:asciiTheme="majorHAnsi" w:hAnsiTheme="majorHAnsi" w:cstheme="majorHAnsi"/>
          <w:sz w:val="22"/>
          <w:szCs w:val="22"/>
        </w:rPr>
        <w:t xml:space="preserve"> targeting </w:t>
      </w:r>
      <w:r w:rsidR="00450163" w:rsidRPr="007B7657">
        <w:rPr>
          <w:rFonts w:asciiTheme="majorHAnsi" w:hAnsiTheme="majorHAnsi" w:cstheme="majorHAnsi"/>
          <w:sz w:val="22"/>
          <w:szCs w:val="22"/>
        </w:rPr>
        <w:t xml:space="preserve">infrastructure in </w:t>
      </w:r>
      <w:r w:rsidR="00383D01" w:rsidRPr="007B7657">
        <w:rPr>
          <w:rFonts w:asciiTheme="majorHAnsi" w:hAnsiTheme="majorHAnsi" w:cstheme="majorHAnsi"/>
          <w:sz w:val="22"/>
          <w:szCs w:val="22"/>
        </w:rPr>
        <w:t>rural areas</w:t>
      </w:r>
      <w:r w:rsidR="007B7657" w:rsidRPr="007B7657">
        <w:rPr>
          <w:rFonts w:asciiTheme="majorHAnsi" w:hAnsiTheme="majorHAnsi" w:cstheme="majorHAnsi"/>
          <w:sz w:val="22"/>
          <w:szCs w:val="22"/>
        </w:rPr>
        <w:t xml:space="preserve">; </w:t>
      </w:r>
      <w:r w:rsidR="007B7657" w:rsidRPr="00F45E64">
        <w:rPr>
          <w:rFonts w:asciiTheme="majorHAnsi" w:hAnsiTheme="majorHAnsi" w:cstheme="majorHAnsi"/>
          <w:i/>
          <w:iCs/>
          <w:color w:val="FF0000"/>
          <w:sz w:val="22"/>
          <w:szCs w:val="22"/>
        </w:rPr>
        <w:t>listed in UPH legislative agenda</w:t>
      </w:r>
    </w:p>
    <w:p w14:paraId="3FB05F13" w14:textId="61CE8942" w:rsidR="00F141BA" w:rsidRPr="007B7657" w:rsidRDefault="00F141BA" w:rsidP="00F141BA">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sz w:val="22"/>
          <w:szCs w:val="22"/>
        </w:rPr>
      </w:pPr>
      <w:r>
        <w:rPr>
          <w:rFonts w:asciiTheme="majorHAnsi" w:hAnsiTheme="majorHAnsi" w:cstheme="majorHAnsi"/>
          <w:b/>
          <w:bCs/>
          <w:sz w:val="22"/>
          <w:szCs w:val="22"/>
        </w:rPr>
        <w:t>Surprise Billing</w:t>
      </w:r>
      <w:r w:rsidRPr="007B7657">
        <w:rPr>
          <w:rFonts w:asciiTheme="majorHAnsi" w:hAnsiTheme="majorHAnsi" w:cstheme="majorHAnsi"/>
          <w:b/>
          <w:bCs/>
          <w:sz w:val="22"/>
          <w:szCs w:val="22"/>
        </w:rPr>
        <w:t xml:space="preserve"> </w:t>
      </w:r>
      <w:r w:rsidR="006116FD">
        <w:rPr>
          <w:rFonts w:asciiTheme="majorHAnsi" w:hAnsiTheme="majorHAnsi" w:cstheme="majorHAnsi"/>
          <w:b/>
          <w:bCs/>
          <w:sz w:val="22"/>
          <w:szCs w:val="22"/>
        </w:rPr>
        <w:t xml:space="preserve"> - “No Surprises Act”</w:t>
      </w:r>
    </w:p>
    <w:p w14:paraId="1878A725" w14:textId="77777777" w:rsidR="000A2F59" w:rsidRDefault="00F141B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sidRPr="00F45E64">
        <w:rPr>
          <w:rFonts w:asciiTheme="majorHAnsi" w:eastAsiaTheme="minorEastAsia" w:hAnsiTheme="majorHAnsi" w:cstheme="majorHAnsi"/>
          <w:color w:val="auto"/>
          <w:sz w:val="22"/>
          <w:szCs w:val="22"/>
          <w:lang w:eastAsia="ja-JP"/>
        </w:rPr>
        <w:lastRenderedPageBreak/>
        <w:t xml:space="preserve">Prohibits surprise billing by providers and facilities in the case of (1) out-of-network emergency care, (2) certain ancillary services provided at an in-network facility by an out-of-network provider, and (3) non- emergency care provided at an in-network facility by an out-of-network provider unless certain notice and consent requirements are met. </w:t>
      </w:r>
    </w:p>
    <w:p w14:paraId="0B1B9640" w14:textId="77777777" w:rsidR="000A2F59" w:rsidRDefault="000A2F59"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lang w:eastAsia="ja-JP"/>
        </w:rPr>
        <w:t xml:space="preserve">Surprise billing prohibitions also apply to air ambulance services. </w:t>
      </w:r>
    </w:p>
    <w:p w14:paraId="42EC0A80" w14:textId="77777777" w:rsidR="000A2F59" w:rsidRDefault="00F141B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sidRPr="00F45E64">
        <w:rPr>
          <w:rFonts w:asciiTheme="majorHAnsi" w:eastAsiaTheme="minorEastAsia" w:hAnsiTheme="majorHAnsi" w:cstheme="majorHAnsi"/>
          <w:color w:val="auto"/>
          <w:sz w:val="22"/>
          <w:szCs w:val="22"/>
          <w:lang w:eastAsia="ja-JP"/>
        </w:rPr>
        <w:t>Patients are only responsible for in-network rates</w:t>
      </w:r>
      <w:r w:rsidR="000A2F59">
        <w:rPr>
          <w:rFonts w:asciiTheme="majorHAnsi" w:eastAsiaTheme="minorEastAsia" w:hAnsiTheme="majorHAnsi" w:cstheme="majorHAnsi"/>
          <w:color w:val="auto"/>
          <w:sz w:val="22"/>
          <w:szCs w:val="22"/>
          <w:lang w:eastAsia="ja-JP"/>
        </w:rPr>
        <w:t xml:space="preserve"> and such payments are attributed to the patient’s in-network deductible</w:t>
      </w:r>
      <w:r w:rsidRPr="00F45E64">
        <w:rPr>
          <w:rFonts w:asciiTheme="majorHAnsi" w:eastAsiaTheme="minorEastAsia" w:hAnsiTheme="majorHAnsi" w:cstheme="majorHAnsi"/>
          <w:color w:val="auto"/>
          <w:sz w:val="22"/>
          <w:szCs w:val="22"/>
          <w:lang w:eastAsia="ja-JP"/>
        </w:rPr>
        <w:t xml:space="preserve">. </w:t>
      </w:r>
    </w:p>
    <w:p w14:paraId="32F58B7F" w14:textId="77777777" w:rsidR="000A2F59" w:rsidRDefault="000A2F59"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lang w:eastAsia="ja-JP"/>
        </w:rPr>
        <w:t xml:space="preserve">Out-of-network claims are subject to a 30-day open negotiation period followed by a binding arbitration process. </w:t>
      </w:r>
    </w:p>
    <w:p w14:paraId="6C3C2AA6" w14:textId="3B175483" w:rsidR="00F141BA" w:rsidRDefault="00B65F4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lang w:eastAsia="ja-JP"/>
        </w:rPr>
        <w:t>T</w:t>
      </w:r>
      <w:r w:rsidR="00F141BA" w:rsidRPr="00F45E64">
        <w:rPr>
          <w:rFonts w:asciiTheme="majorHAnsi" w:eastAsiaTheme="minorEastAsia" w:hAnsiTheme="majorHAnsi" w:cstheme="majorHAnsi"/>
          <w:color w:val="auto"/>
          <w:sz w:val="22"/>
          <w:szCs w:val="22"/>
          <w:lang w:eastAsia="ja-JP"/>
        </w:rPr>
        <w:t xml:space="preserve">ransparency requirements for </w:t>
      </w:r>
      <w:r>
        <w:rPr>
          <w:rFonts w:asciiTheme="majorHAnsi" w:eastAsiaTheme="minorEastAsia" w:hAnsiTheme="majorHAnsi" w:cstheme="majorHAnsi"/>
          <w:color w:val="auto"/>
          <w:sz w:val="22"/>
          <w:szCs w:val="22"/>
          <w:lang w:eastAsia="ja-JP"/>
        </w:rPr>
        <w:t xml:space="preserve">health </w:t>
      </w:r>
      <w:r w:rsidR="00F141BA" w:rsidRPr="00F45E64">
        <w:rPr>
          <w:rFonts w:asciiTheme="majorHAnsi" w:eastAsiaTheme="minorEastAsia" w:hAnsiTheme="majorHAnsi" w:cstheme="majorHAnsi"/>
          <w:color w:val="auto"/>
          <w:sz w:val="22"/>
          <w:szCs w:val="22"/>
          <w:lang w:eastAsia="ja-JP"/>
        </w:rPr>
        <w:t xml:space="preserve">plans and providers relate to providing the patient </w:t>
      </w:r>
      <w:r>
        <w:rPr>
          <w:rFonts w:asciiTheme="majorHAnsi" w:eastAsiaTheme="minorEastAsia" w:hAnsiTheme="majorHAnsi" w:cstheme="majorHAnsi"/>
          <w:color w:val="auto"/>
          <w:sz w:val="22"/>
          <w:szCs w:val="22"/>
          <w:lang w:eastAsia="ja-JP"/>
        </w:rPr>
        <w:t>coverage information</w:t>
      </w:r>
      <w:r w:rsidR="00F141BA" w:rsidRPr="00F45E64">
        <w:rPr>
          <w:rFonts w:asciiTheme="majorHAnsi" w:eastAsiaTheme="minorEastAsia" w:hAnsiTheme="majorHAnsi" w:cstheme="majorHAnsi"/>
          <w:color w:val="auto"/>
          <w:sz w:val="22"/>
          <w:szCs w:val="22"/>
          <w:lang w:eastAsia="ja-JP"/>
        </w:rPr>
        <w:t xml:space="preserve">, including updated directory information.  </w:t>
      </w:r>
    </w:p>
    <w:p w14:paraId="57B12B09" w14:textId="504E6FE6" w:rsidR="00B65F4A" w:rsidRDefault="00B65F4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lang w:eastAsia="ja-JP"/>
        </w:rPr>
        <w:t>Health plans are required to offer a price comparison tool for consumers.</w:t>
      </w:r>
    </w:p>
    <w:p w14:paraId="6C27BD91" w14:textId="584EE940" w:rsidR="00B65F4A" w:rsidRPr="00F45E64" w:rsidRDefault="00B65F4A" w:rsidP="00F141BA">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lang w:eastAsia="ja-JP"/>
        </w:rPr>
        <w:t>Grants will be available to create and improve state all payer claims databases.</w:t>
      </w:r>
    </w:p>
    <w:p w14:paraId="6CDB9A03" w14:textId="77777777" w:rsidR="00F141BA" w:rsidRDefault="00F141BA" w:rsidP="00C916E3">
      <w:pPr>
        <w:spacing w:after="0"/>
        <w:ind w:right="576"/>
        <w:rPr>
          <w:sz w:val="22"/>
          <w:szCs w:val="22"/>
        </w:rPr>
      </w:pPr>
    </w:p>
    <w:p w14:paraId="417888C4" w14:textId="24F9B8E3" w:rsidR="006D439A" w:rsidRPr="007B7657" w:rsidRDefault="00B65F4A" w:rsidP="006D439A">
      <w:pPr>
        <w:pStyle w:val="Default"/>
        <w:pBdr>
          <w:top w:val="single" w:sz="4" w:space="1" w:color="auto"/>
          <w:left w:val="single" w:sz="4" w:space="4" w:color="auto"/>
          <w:right w:val="single" w:sz="4" w:space="4" w:color="auto"/>
        </w:pBdr>
        <w:shd w:val="clear" w:color="auto" w:fill="C7E2FA" w:themeFill="accent1" w:themeFillTint="33"/>
        <w:rPr>
          <w:rFonts w:asciiTheme="majorHAnsi" w:hAnsiTheme="majorHAnsi" w:cstheme="majorHAnsi"/>
          <w:sz w:val="22"/>
          <w:szCs w:val="22"/>
        </w:rPr>
      </w:pPr>
      <w:r>
        <w:rPr>
          <w:rFonts w:asciiTheme="majorHAnsi" w:hAnsiTheme="majorHAnsi" w:cstheme="majorHAnsi"/>
          <w:b/>
          <w:bCs/>
          <w:sz w:val="22"/>
          <w:szCs w:val="22"/>
        </w:rPr>
        <w:t>Addition Private Health Insurance Provisions</w:t>
      </w:r>
    </w:p>
    <w:p w14:paraId="176211A4" w14:textId="5802CD15" w:rsidR="006D439A" w:rsidRDefault="00B65F4A" w:rsidP="00F45E64">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sidRPr="00B65F4A">
        <w:rPr>
          <w:rFonts w:asciiTheme="majorHAnsi" w:eastAsiaTheme="minorEastAsia" w:hAnsiTheme="majorHAnsi" w:cstheme="majorHAnsi"/>
          <w:color w:val="auto"/>
          <w:sz w:val="22"/>
          <w:szCs w:val="22"/>
          <w:u w:val="single"/>
          <w:lang w:eastAsia="ja-JP"/>
        </w:rPr>
        <w:t xml:space="preserve">Gag Clause </w:t>
      </w:r>
      <w:r w:rsidR="006D439A" w:rsidRPr="00B65F4A">
        <w:rPr>
          <w:rFonts w:asciiTheme="majorHAnsi" w:eastAsiaTheme="minorEastAsia" w:hAnsiTheme="majorHAnsi" w:cstheme="majorHAnsi"/>
          <w:color w:val="auto"/>
          <w:sz w:val="22"/>
          <w:szCs w:val="22"/>
          <w:u w:val="single"/>
          <w:lang w:eastAsia="ja-JP"/>
        </w:rPr>
        <w:t>Prohibit</w:t>
      </w:r>
      <w:r w:rsidRPr="00B65F4A">
        <w:rPr>
          <w:rFonts w:asciiTheme="majorHAnsi" w:eastAsiaTheme="minorEastAsia" w:hAnsiTheme="majorHAnsi" w:cstheme="majorHAnsi"/>
          <w:color w:val="auto"/>
          <w:sz w:val="22"/>
          <w:szCs w:val="22"/>
          <w:u w:val="single"/>
          <w:lang w:eastAsia="ja-JP"/>
        </w:rPr>
        <w:t>ion</w:t>
      </w:r>
      <w:r>
        <w:rPr>
          <w:rFonts w:asciiTheme="majorHAnsi" w:eastAsiaTheme="minorEastAsia" w:hAnsiTheme="majorHAnsi" w:cstheme="majorHAnsi"/>
          <w:color w:val="auto"/>
          <w:sz w:val="22"/>
          <w:szCs w:val="22"/>
          <w:lang w:eastAsia="ja-JP"/>
        </w:rPr>
        <w:t xml:space="preserve"> – Bans gag clauses that prevent (1) </w:t>
      </w:r>
      <w:r w:rsidRPr="00B65F4A">
        <w:rPr>
          <w:rFonts w:asciiTheme="majorHAnsi" w:eastAsiaTheme="minorEastAsia" w:hAnsiTheme="majorHAnsi" w:cstheme="majorHAnsi"/>
          <w:color w:val="auto"/>
          <w:sz w:val="22"/>
          <w:szCs w:val="22"/>
          <w:lang w:eastAsia="ja-JP"/>
        </w:rPr>
        <w:t>enrollees, plan sponsors, or referring providers from seeing cost and quality data on providers</w:t>
      </w:r>
      <w:r>
        <w:rPr>
          <w:rFonts w:asciiTheme="majorHAnsi" w:eastAsiaTheme="minorEastAsia" w:hAnsiTheme="majorHAnsi" w:cstheme="majorHAnsi"/>
          <w:color w:val="auto"/>
          <w:sz w:val="22"/>
          <w:szCs w:val="22"/>
          <w:lang w:eastAsia="ja-JP"/>
        </w:rPr>
        <w:t xml:space="preserve">; or (2) </w:t>
      </w:r>
      <w:r w:rsidRPr="00B65F4A">
        <w:rPr>
          <w:rFonts w:asciiTheme="majorHAnsi" w:eastAsiaTheme="minorEastAsia" w:hAnsiTheme="majorHAnsi" w:cstheme="majorHAnsi"/>
          <w:color w:val="auto"/>
          <w:sz w:val="22"/>
          <w:szCs w:val="22"/>
          <w:lang w:eastAsia="ja-JP"/>
        </w:rPr>
        <w:t xml:space="preserve">plan sponsors from accessing de-identified claims data that </w:t>
      </w:r>
      <w:r w:rsidR="008D0595">
        <w:rPr>
          <w:rFonts w:asciiTheme="majorHAnsi" w:eastAsiaTheme="minorEastAsia" w:hAnsiTheme="majorHAnsi" w:cstheme="majorHAnsi"/>
          <w:color w:val="auto"/>
          <w:sz w:val="22"/>
          <w:szCs w:val="22"/>
          <w:lang w:eastAsia="ja-JP"/>
        </w:rPr>
        <w:t>may</w:t>
      </w:r>
      <w:r w:rsidRPr="00B65F4A">
        <w:rPr>
          <w:rFonts w:asciiTheme="majorHAnsi" w:eastAsiaTheme="minorEastAsia" w:hAnsiTheme="majorHAnsi" w:cstheme="majorHAnsi"/>
          <w:color w:val="auto"/>
          <w:sz w:val="22"/>
          <w:szCs w:val="22"/>
          <w:lang w:eastAsia="ja-JP"/>
        </w:rPr>
        <w:t xml:space="preserve"> be shared</w:t>
      </w:r>
      <w:r w:rsidR="008D0595">
        <w:rPr>
          <w:rFonts w:asciiTheme="majorHAnsi" w:eastAsiaTheme="minorEastAsia" w:hAnsiTheme="majorHAnsi" w:cstheme="majorHAnsi"/>
          <w:color w:val="auto"/>
          <w:sz w:val="22"/>
          <w:szCs w:val="22"/>
          <w:lang w:eastAsia="ja-JP"/>
        </w:rPr>
        <w:t xml:space="preserve"> </w:t>
      </w:r>
      <w:r w:rsidRPr="00B65F4A">
        <w:rPr>
          <w:rFonts w:asciiTheme="majorHAnsi" w:eastAsiaTheme="minorEastAsia" w:hAnsiTheme="majorHAnsi" w:cstheme="majorHAnsi"/>
          <w:color w:val="auto"/>
          <w:sz w:val="22"/>
          <w:szCs w:val="22"/>
          <w:lang w:eastAsia="ja-JP"/>
        </w:rPr>
        <w:t>under HIPAA business associate agreements with third parties for plan administration and quality improvement purposes</w:t>
      </w:r>
      <w:r w:rsidR="006D439A" w:rsidRPr="00F45E64">
        <w:rPr>
          <w:rFonts w:asciiTheme="majorHAnsi" w:eastAsiaTheme="minorEastAsia" w:hAnsiTheme="majorHAnsi" w:cstheme="majorHAnsi"/>
          <w:color w:val="auto"/>
          <w:sz w:val="22"/>
          <w:szCs w:val="22"/>
          <w:lang w:eastAsia="ja-JP"/>
        </w:rPr>
        <w:t>.</w:t>
      </w:r>
    </w:p>
    <w:p w14:paraId="7E82947D" w14:textId="534B8E31" w:rsidR="008D0595" w:rsidRDefault="008D0595" w:rsidP="00F45E64">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u w:val="single"/>
          <w:lang w:eastAsia="ja-JP"/>
        </w:rPr>
        <w:t xml:space="preserve">Disclosure </w:t>
      </w:r>
      <w:r w:rsidR="00395689">
        <w:rPr>
          <w:rFonts w:asciiTheme="majorHAnsi" w:eastAsiaTheme="minorEastAsia" w:hAnsiTheme="majorHAnsi" w:cstheme="majorHAnsi"/>
          <w:color w:val="auto"/>
          <w:sz w:val="22"/>
          <w:szCs w:val="22"/>
          <w:u w:val="single"/>
          <w:lang w:eastAsia="ja-JP"/>
        </w:rPr>
        <w:t>o</w:t>
      </w:r>
      <w:r>
        <w:rPr>
          <w:rFonts w:asciiTheme="majorHAnsi" w:eastAsiaTheme="minorEastAsia" w:hAnsiTheme="majorHAnsi" w:cstheme="majorHAnsi"/>
          <w:color w:val="auto"/>
          <w:sz w:val="22"/>
          <w:szCs w:val="22"/>
          <w:u w:val="single"/>
          <w:lang w:eastAsia="ja-JP"/>
        </w:rPr>
        <w:t xml:space="preserve">f Broker </w:t>
      </w:r>
      <w:r w:rsidR="00395689">
        <w:rPr>
          <w:rFonts w:asciiTheme="majorHAnsi" w:eastAsiaTheme="minorEastAsia" w:hAnsiTheme="majorHAnsi" w:cstheme="majorHAnsi"/>
          <w:color w:val="auto"/>
          <w:sz w:val="22"/>
          <w:szCs w:val="22"/>
          <w:u w:val="single"/>
          <w:lang w:eastAsia="ja-JP"/>
        </w:rPr>
        <w:t>a</w:t>
      </w:r>
      <w:r>
        <w:rPr>
          <w:rFonts w:asciiTheme="majorHAnsi" w:eastAsiaTheme="minorEastAsia" w:hAnsiTheme="majorHAnsi" w:cstheme="majorHAnsi"/>
          <w:color w:val="auto"/>
          <w:sz w:val="22"/>
          <w:szCs w:val="22"/>
          <w:u w:val="single"/>
          <w:lang w:eastAsia="ja-JP"/>
        </w:rPr>
        <w:t xml:space="preserve">nd Consultant Fees </w:t>
      </w:r>
      <w:r>
        <w:rPr>
          <w:rFonts w:asciiTheme="majorHAnsi" w:eastAsiaTheme="minorEastAsia" w:hAnsiTheme="majorHAnsi" w:cstheme="majorHAnsi"/>
          <w:color w:val="auto"/>
          <w:sz w:val="22"/>
          <w:szCs w:val="22"/>
          <w:lang w:eastAsia="ja-JP"/>
        </w:rPr>
        <w:t>– Requires health benefit brokers or consultants to disclose direct and indirect compensation to employer-sponsored health plans and enrollees in individual market plans.</w:t>
      </w:r>
    </w:p>
    <w:p w14:paraId="3AE0F80F" w14:textId="2FE6EF40" w:rsidR="008D0595" w:rsidRDefault="008D0595" w:rsidP="00F45E64">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Pr>
          <w:rFonts w:asciiTheme="majorHAnsi" w:eastAsiaTheme="minorEastAsia" w:hAnsiTheme="majorHAnsi" w:cstheme="majorHAnsi"/>
          <w:color w:val="auto"/>
          <w:sz w:val="22"/>
          <w:szCs w:val="22"/>
          <w:u w:val="single"/>
          <w:lang w:eastAsia="ja-JP"/>
        </w:rPr>
        <w:t>Parity Comparative Analyses</w:t>
      </w:r>
      <w:r w:rsidRPr="008D0595">
        <w:rPr>
          <w:rFonts w:asciiTheme="majorHAnsi" w:eastAsiaTheme="minorEastAsia" w:hAnsiTheme="majorHAnsi" w:cstheme="majorHAnsi"/>
          <w:color w:val="auto"/>
          <w:sz w:val="22"/>
          <w:szCs w:val="22"/>
          <w:lang w:eastAsia="ja-JP"/>
        </w:rPr>
        <w:t xml:space="preserve"> - Requires group health plans and health insurance issuers offering coverage in the individual or group markets to conduct comparative analyses</w:t>
      </w:r>
      <w:r>
        <w:rPr>
          <w:rFonts w:asciiTheme="majorHAnsi" w:eastAsiaTheme="minorEastAsia" w:hAnsiTheme="majorHAnsi" w:cstheme="majorHAnsi"/>
          <w:color w:val="auto"/>
          <w:sz w:val="22"/>
          <w:szCs w:val="22"/>
          <w:lang w:eastAsia="ja-JP"/>
        </w:rPr>
        <w:t xml:space="preserve">. HHS, Labor and Treasury may request </w:t>
      </w:r>
      <w:r w:rsidR="00236F27">
        <w:rPr>
          <w:rFonts w:asciiTheme="majorHAnsi" w:eastAsiaTheme="minorEastAsia" w:hAnsiTheme="majorHAnsi" w:cstheme="majorHAnsi"/>
          <w:color w:val="auto"/>
          <w:sz w:val="22"/>
          <w:szCs w:val="22"/>
          <w:lang w:eastAsia="ja-JP"/>
        </w:rPr>
        <w:t xml:space="preserve">to </w:t>
      </w:r>
      <w:r>
        <w:rPr>
          <w:rFonts w:asciiTheme="majorHAnsi" w:eastAsiaTheme="minorEastAsia" w:hAnsiTheme="majorHAnsi" w:cstheme="majorHAnsi"/>
          <w:color w:val="auto"/>
          <w:sz w:val="22"/>
          <w:szCs w:val="22"/>
          <w:lang w:eastAsia="ja-JP"/>
        </w:rPr>
        <w:t xml:space="preserve">review analyses </w:t>
      </w:r>
      <w:r w:rsidR="00236F27">
        <w:rPr>
          <w:rFonts w:asciiTheme="majorHAnsi" w:eastAsiaTheme="minorEastAsia" w:hAnsiTheme="majorHAnsi" w:cstheme="majorHAnsi"/>
          <w:color w:val="auto"/>
          <w:sz w:val="22"/>
          <w:szCs w:val="22"/>
          <w:lang w:eastAsia="ja-JP"/>
        </w:rPr>
        <w:t xml:space="preserve">for their annual report </w:t>
      </w:r>
      <w:r>
        <w:rPr>
          <w:rFonts w:asciiTheme="majorHAnsi" w:eastAsiaTheme="minorEastAsia" w:hAnsiTheme="majorHAnsi" w:cstheme="majorHAnsi"/>
          <w:color w:val="auto"/>
          <w:sz w:val="22"/>
          <w:szCs w:val="22"/>
          <w:lang w:eastAsia="ja-JP"/>
        </w:rPr>
        <w:t xml:space="preserve">and </w:t>
      </w:r>
      <w:r w:rsidR="00236F27">
        <w:rPr>
          <w:rFonts w:asciiTheme="majorHAnsi" w:eastAsiaTheme="minorEastAsia" w:hAnsiTheme="majorHAnsi" w:cstheme="majorHAnsi"/>
          <w:color w:val="auto"/>
          <w:sz w:val="22"/>
          <w:szCs w:val="22"/>
          <w:lang w:eastAsia="ja-JP"/>
        </w:rPr>
        <w:t xml:space="preserve">may </w:t>
      </w:r>
      <w:r>
        <w:rPr>
          <w:rFonts w:asciiTheme="majorHAnsi" w:eastAsiaTheme="minorEastAsia" w:hAnsiTheme="majorHAnsi" w:cstheme="majorHAnsi"/>
          <w:color w:val="auto"/>
          <w:sz w:val="22"/>
          <w:szCs w:val="22"/>
          <w:lang w:eastAsia="ja-JP"/>
        </w:rPr>
        <w:t xml:space="preserve">issue corrective action plans for noncompliance. </w:t>
      </w:r>
    </w:p>
    <w:p w14:paraId="0BC21B57" w14:textId="12709EAA" w:rsidR="008D0595" w:rsidRPr="00F45E64" w:rsidRDefault="00236F27" w:rsidP="00F45E64">
      <w:pPr>
        <w:pStyle w:val="Default"/>
        <w:numPr>
          <w:ilvl w:val="0"/>
          <w:numId w:val="7"/>
        </w:numPr>
        <w:pBdr>
          <w:left w:val="single" w:sz="4" w:space="22" w:color="auto"/>
          <w:bottom w:val="single" w:sz="4" w:space="1" w:color="auto"/>
          <w:right w:val="single" w:sz="4" w:space="5" w:color="auto"/>
        </w:pBdr>
        <w:rPr>
          <w:rFonts w:asciiTheme="majorHAnsi" w:eastAsiaTheme="minorEastAsia" w:hAnsiTheme="majorHAnsi" w:cstheme="majorHAnsi"/>
          <w:color w:val="auto"/>
          <w:sz w:val="22"/>
          <w:szCs w:val="22"/>
          <w:lang w:eastAsia="ja-JP"/>
        </w:rPr>
      </w:pPr>
      <w:r w:rsidRPr="00236F27">
        <w:rPr>
          <w:rFonts w:asciiTheme="majorHAnsi" w:eastAsiaTheme="minorEastAsia" w:hAnsiTheme="majorHAnsi" w:cstheme="majorHAnsi"/>
          <w:color w:val="auto"/>
          <w:sz w:val="22"/>
          <w:szCs w:val="22"/>
          <w:u w:val="single"/>
          <w:lang w:eastAsia="ja-JP"/>
        </w:rPr>
        <w:t xml:space="preserve">Pharmacy Benefits </w:t>
      </w:r>
      <w:r w:rsidR="00395689">
        <w:rPr>
          <w:rFonts w:asciiTheme="majorHAnsi" w:eastAsiaTheme="minorEastAsia" w:hAnsiTheme="majorHAnsi" w:cstheme="majorHAnsi"/>
          <w:color w:val="auto"/>
          <w:sz w:val="22"/>
          <w:szCs w:val="22"/>
          <w:u w:val="single"/>
          <w:lang w:eastAsia="ja-JP"/>
        </w:rPr>
        <w:t>a</w:t>
      </w:r>
      <w:r w:rsidRPr="00236F27">
        <w:rPr>
          <w:rFonts w:asciiTheme="majorHAnsi" w:eastAsiaTheme="minorEastAsia" w:hAnsiTheme="majorHAnsi" w:cstheme="majorHAnsi"/>
          <w:color w:val="auto"/>
          <w:sz w:val="22"/>
          <w:szCs w:val="22"/>
          <w:u w:val="single"/>
          <w:lang w:eastAsia="ja-JP"/>
        </w:rPr>
        <w:t>nd Drug Costs Reporting</w:t>
      </w:r>
      <w:r>
        <w:rPr>
          <w:rFonts w:asciiTheme="majorHAnsi" w:eastAsiaTheme="minorEastAsia" w:hAnsiTheme="majorHAnsi" w:cstheme="majorHAnsi"/>
          <w:color w:val="auto"/>
          <w:sz w:val="22"/>
          <w:szCs w:val="22"/>
          <w:lang w:eastAsia="ja-JP"/>
        </w:rPr>
        <w:t xml:space="preserve"> - R</w:t>
      </w:r>
      <w:r w:rsidRPr="00236F27">
        <w:rPr>
          <w:rFonts w:asciiTheme="majorHAnsi" w:eastAsiaTheme="minorEastAsia" w:hAnsiTheme="majorHAnsi" w:cstheme="majorHAnsi"/>
          <w:color w:val="auto"/>
          <w:sz w:val="22"/>
          <w:szCs w:val="22"/>
          <w:lang w:eastAsia="ja-JP"/>
        </w:rPr>
        <w:t>equires health plans to report information to HHS, Labor and Treasury</w:t>
      </w:r>
      <w:r>
        <w:rPr>
          <w:rFonts w:asciiTheme="majorHAnsi" w:eastAsiaTheme="minorEastAsia" w:hAnsiTheme="majorHAnsi" w:cstheme="majorHAnsi"/>
          <w:color w:val="auto"/>
          <w:sz w:val="22"/>
          <w:szCs w:val="22"/>
          <w:lang w:eastAsia="ja-JP"/>
        </w:rPr>
        <w:t xml:space="preserve"> and HHS shall publish a biennial report of drug pricing and cost </w:t>
      </w:r>
      <w:r w:rsidR="00395689">
        <w:rPr>
          <w:rFonts w:asciiTheme="majorHAnsi" w:eastAsiaTheme="minorEastAsia" w:hAnsiTheme="majorHAnsi" w:cstheme="majorHAnsi"/>
          <w:color w:val="auto"/>
          <w:sz w:val="22"/>
          <w:szCs w:val="22"/>
          <w:lang w:eastAsia="ja-JP"/>
        </w:rPr>
        <w:t>trends</w:t>
      </w:r>
      <w:r>
        <w:rPr>
          <w:rFonts w:asciiTheme="majorHAnsi" w:eastAsiaTheme="minorEastAsia" w:hAnsiTheme="majorHAnsi" w:cstheme="majorHAnsi"/>
          <w:color w:val="auto"/>
          <w:sz w:val="22"/>
          <w:szCs w:val="22"/>
          <w:lang w:eastAsia="ja-JP"/>
        </w:rPr>
        <w:t>.</w:t>
      </w:r>
    </w:p>
    <w:p w14:paraId="05D2C86B" w14:textId="33D67FBF" w:rsidR="006D439A" w:rsidRDefault="006D439A" w:rsidP="006D439A">
      <w:pPr>
        <w:ind w:right="576"/>
        <w:rPr>
          <w:sz w:val="22"/>
          <w:szCs w:val="22"/>
        </w:rPr>
      </w:pPr>
    </w:p>
    <w:p w14:paraId="46EF9A5A" w14:textId="4A023C3B" w:rsidR="000F6CDF" w:rsidRPr="000F6CDF" w:rsidRDefault="000F6CDF" w:rsidP="006D439A">
      <w:pPr>
        <w:ind w:right="576"/>
        <w:rPr>
          <w:b/>
          <w:bCs/>
          <w:sz w:val="22"/>
          <w:szCs w:val="22"/>
        </w:rPr>
      </w:pPr>
      <w:bookmarkStart w:id="1" w:name="_Hlk59526400"/>
      <w:r w:rsidRPr="000F6CDF">
        <w:rPr>
          <w:b/>
          <w:bCs/>
          <w:sz w:val="22"/>
          <w:szCs w:val="22"/>
        </w:rPr>
        <w:t>For more detailed information on specific provisions, please reach out to:</w:t>
      </w:r>
    </w:p>
    <w:p w14:paraId="52CD71E2" w14:textId="4614D4B5" w:rsidR="000F6CDF" w:rsidRDefault="000F6CDF" w:rsidP="000F6CDF">
      <w:pPr>
        <w:spacing w:after="0" w:line="240" w:lineRule="auto"/>
        <w:ind w:right="576"/>
        <w:rPr>
          <w:b/>
          <w:bCs/>
          <w:sz w:val="22"/>
          <w:szCs w:val="22"/>
        </w:rPr>
      </w:pPr>
      <w:r w:rsidRPr="000F6CDF">
        <w:rPr>
          <w:b/>
          <w:bCs/>
          <w:sz w:val="22"/>
          <w:szCs w:val="22"/>
        </w:rPr>
        <w:t>Cathy Simmons</w:t>
      </w:r>
      <w:r w:rsidRPr="000F6CDF">
        <w:rPr>
          <w:b/>
          <w:bCs/>
          <w:sz w:val="22"/>
          <w:szCs w:val="22"/>
        </w:rPr>
        <w:tab/>
      </w:r>
      <w:r w:rsidRPr="000F6CDF">
        <w:rPr>
          <w:b/>
          <w:bCs/>
          <w:sz w:val="22"/>
          <w:szCs w:val="22"/>
        </w:rPr>
        <w:tab/>
      </w:r>
      <w:r w:rsidRPr="000F6CDF">
        <w:rPr>
          <w:b/>
          <w:bCs/>
          <w:sz w:val="22"/>
          <w:szCs w:val="22"/>
        </w:rPr>
        <w:tab/>
      </w:r>
      <w:r w:rsidRPr="000F6CDF">
        <w:rPr>
          <w:b/>
          <w:bCs/>
          <w:sz w:val="22"/>
          <w:szCs w:val="22"/>
        </w:rPr>
        <w:tab/>
      </w:r>
      <w:r w:rsidRPr="000F6CDF">
        <w:rPr>
          <w:b/>
          <w:bCs/>
          <w:sz w:val="22"/>
          <w:szCs w:val="22"/>
        </w:rPr>
        <w:tab/>
      </w:r>
      <w:r w:rsidRPr="000F6CDF">
        <w:rPr>
          <w:b/>
          <w:bCs/>
          <w:sz w:val="22"/>
          <w:szCs w:val="22"/>
        </w:rPr>
        <w:tab/>
        <w:t>Stephanie Collingwood</w:t>
      </w:r>
    </w:p>
    <w:p w14:paraId="2830F5CD" w14:textId="6E6F42C7" w:rsidR="000F6CDF" w:rsidRDefault="000F6CDF" w:rsidP="000F6CDF">
      <w:pPr>
        <w:spacing w:after="0" w:line="240" w:lineRule="auto"/>
        <w:ind w:right="576"/>
        <w:rPr>
          <w:b/>
          <w:bCs/>
          <w:sz w:val="22"/>
          <w:szCs w:val="22"/>
        </w:rPr>
      </w:pPr>
      <w:r>
        <w:rPr>
          <w:b/>
          <w:bCs/>
          <w:sz w:val="22"/>
          <w:szCs w:val="22"/>
        </w:rPr>
        <w:t>Executive Director, Government &amp; External Affairs</w:t>
      </w:r>
      <w:r>
        <w:rPr>
          <w:b/>
          <w:bCs/>
          <w:sz w:val="22"/>
          <w:szCs w:val="22"/>
        </w:rPr>
        <w:tab/>
        <w:t>Government Relations Specialist</w:t>
      </w:r>
    </w:p>
    <w:p w14:paraId="3F4F686C" w14:textId="6F00CBBC" w:rsidR="000F6CDF" w:rsidRDefault="000F6CDF" w:rsidP="000F6CDF">
      <w:pPr>
        <w:spacing w:after="0" w:line="240" w:lineRule="auto"/>
        <w:ind w:right="576"/>
        <w:rPr>
          <w:b/>
          <w:bCs/>
          <w:sz w:val="22"/>
          <w:szCs w:val="22"/>
        </w:rPr>
      </w:pPr>
      <w:r>
        <w:rPr>
          <w:b/>
          <w:bCs/>
          <w:sz w:val="22"/>
          <w:szCs w:val="22"/>
        </w:rPr>
        <w:t>(319) 361-2336</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(319) 538-8652</w:t>
      </w:r>
    </w:p>
    <w:p w14:paraId="5F146A16" w14:textId="0044D1DB" w:rsidR="000F6CDF" w:rsidRDefault="00AC0392" w:rsidP="000F6CDF">
      <w:pPr>
        <w:spacing w:after="0" w:line="240" w:lineRule="auto"/>
        <w:ind w:right="576"/>
        <w:rPr>
          <w:b/>
          <w:bCs/>
          <w:sz w:val="22"/>
          <w:szCs w:val="22"/>
        </w:rPr>
      </w:pPr>
      <w:hyperlink r:id="rId12" w:history="1">
        <w:r w:rsidR="000F6CDF" w:rsidRPr="00B479D2">
          <w:rPr>
            <w:rStyle w:val="Hyperlink"/>
            <w:b/>
            <w:bCs/>
            <w:sz w:val="22"/>
            <w:szCs w:val="22"/>
          </w:rPr>
          <w:t>cathy.simmons@unitypoint.org</w:t>
        </w:r>
      </w:hyperlink>
      <w:r w:rsidR="000F6CDF">
        <w:rPr>
          <w:b/>
          <w:bCs/>
          <w:sz w:val="22"/>
          <w:szCs w:val="22"/>
        </w:rPr>
        <w:tab/>
      </w:r>
      <w:r w:rsidR="000F6CDF">
        <w:rPr>
          <w:b/>
          <w:bCs/>
          <w:sz w:val="22"/>
          <w:szCs w:val="22"/>
        </w:rPr>
        <w:tab/>
      </w:r>
      <w:r w:rsidR="000F6CDF">
        <w:rPr>
          <w:b/>
          <w:bCs/>
          <w:sz w:val="22"/>
          <w:szCs w:val="22"/>
        </w:rPr>
        <w:tab/>
      </w:r>
      <w:r w:rsidR="000F6CDF">
        <w:rPr>
          <w:b/>
          <w:bCs/>
          <w:sz w:val="22"/>
          <w:szCs w:val="22"/>
        </w:rPr>
        <w:tab/>
      </w:r>
      <w:hyperlink r:id="rId13" w:history="1">
        <w:r w:rsidR="000F6CDF" w:rsidRPr="00B479D2">
          <w:rPr>
            <w:rStyle w:val="Hyperlink"/>
            <w:b/>
            <w:bCs/>
            <w:sz w:val="22"/>
            <w:szCs w:val="22"/>
          </w:rPr>
          <w:t>stephanie.collingwood2@unitypoint.org</w:t>
        </w:r>
      </w:hyperlink>
    </w:p>
    <w:bookmarkEnd w:id="1"/>
    <w:p w14:paraId="5AE28AE7" w14:textId="6AE6C3E3" w:rsidR="000F6CDF" w:rsidRPr="000F6CDF" w:rsidRDefault="000F6CDF" w:rsidP="006D439A">
      <w:pPr>
        <w:ind w:right="576"/>
        <w:rPr>
          <w:b/>
          <w:bCs/>
          <w:sz w:val="22"/>
          <w:szCs w:val="22"/>
        </w:rPr>
      </w:pPr>
    </w:p>
    <w:p w14:paraId="39247121" w14:textId="77777777" w:rsidR="000F6CDF" w:rsidRPr="00C916E3" w:rsidRDefault="000F6CDF" w:rsidP="006D439A">
      <w:pPr>
        <w:ind w:right="576"/>
        <w:rPr>
          <w:sz w:val="22"/>
          <w:szCs w:val="22"/>
        </w:rPr>
      </w:pPr>
    </w:p>
    <w:sectPr w:rsidR="000F6CDF" w:rsidRPr="00C916E3" w:rsidSect="00A44FBB">
      <w:headerReference w:type="default" r:id="rId14"/>
      <w:footerReference w:type="default" r:id="rId15"/>
      <w:headerReference w:type="first" r:id="rId16"/>
      <w:footerReference w:type="first" r:id="rId17"/>
      <w:pgSz w:w="12240" w:h="15840" w:code="1"/>
      <w:pgMar w:top="806" w:right="1080" w:bottom="1872" w:left="1080" w:header="44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AB2E" w14:textId="77777777" w:rsidR="00AC0392" w:rsidRDefault="00AC0392">
      <w:pPr>
        <w:spacing w:after="0" w:line="240" w:lineRule="auto"/>
      </w:pPr>
      <w:r>
        <w:separator/>
      </w:r>
    </w:p>
    <w:p w14:paraId="7B36C498" w14:textId="77777777" w:rsidR="00AC0392" w:rsidRDefault="00AC0392"/>
  </w:endnote>
  <w:endnote w:type="continuationSeparator" w:id="0">
    <w:p w14:paraId="3114DC11" w14:textId="77777777" w:rsidR="00AC0392" w:rsidRDefault="00AC0392">
      <w:pPr>
        <w:spacing w:after="0" w:line="240" w:lineRule="auto"/>
      </w:pPr>
      <w:r>
        <w:continuationSeparator/>
      </w:r>
    </w:p>
    <w:p w14:paraId="084B43C8" w14:textId="77777777" w:rsidR="00AC0392" w:rsidRDefault="00AC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576576"/>
      <w:docPartObj>
        <w:docPartGallery w:val="Page Numbers (Bottom of Page)"/>
        <w:docPartUnique/>
      </w:docPartObj>
    </w:sdtPr>
    <w:sdtEndPr>
      <w:rPr>
        <w:noProof/>
      </w:rPr>
    </w:sdtEndPr>
    <w:sdtContent>
      <w:p w14:paraId="79AD32A0" w14:textId="20297959" w:rsidR="00A44FBB" w:rsidRPr="00346231" w:rsidRDefault="00A44FBB" w:rsidP="00A44FBB">
        <w:pPr>
          <w:pStyle w:val="Footer"/>
        </w:pPr>
        <w:r>
          <w:t>UnityPoint Health Government and External Affairs</w:t>
        </w:r>
      </w:p>
      <w:p w14:paraId="68E3DE59" w14:textId="22BBD355" w:rsidR="00A44FBB" w:rsidRDefault="00A44FBB" w:rsidP="00232314">
        <w:pPr>
          <w:pStyle w:val="Footer"/>
          <w:rPr>
            <w:noProof/>
          </w:rPr>
        </w:pPr>
        <w:r>
          <w:rPr>
            <w:noProof/>
          </w:rPr>
          <mc:AlternateContent>
            <mc:Choice Requires="wps">
              <w:drawing>
                <wp:anchor distT="0" distB="0" distL="114300" distR="114300" simplePos="0" relativeHeight="251685888" behindDoc="0" locked="0" layoutInCell="1" allowOverlap="1" wp14:anchorId="6DD5B1F2" wp14:editId="18CD1D80">
                  <wp:simplePos x="0" y="0"/>
                  <wp:positionH relativeFrom="column">
                    <wp:posOffset>-723900</wp:posOffset>
                  </wp:positionH>
                  <wp:positionV relativeFrom="paragraph">
                    <wp:posOffset>285750</wp:posOffset>
                  </wp:positionV>
                  <wp:extent cx="3699334" cy="595504"/>
                  <wp:effectExtent l="0" t="0" r="0" b="0"/>
                  <wp:wrapNone/>
                  <wp:docPr id="1" name="Freeform: Shape 1"/>
                  <wp:cNvGraphicFramePr/>
                  <a:graphic xmlns:a="http://schemas.openxmlformats.org/drawingml/2006/main">
                    <a:graphicData uri="http://schemas.microsoft.com/office/word/2010/wordprocessingShape">
                      <wps:wsp>
                        <wps:cNvSpPr/>
                        <wps:spPr>
                          <a:xfrm>
                            <a:off x="0" y="0"/>
                            <a:ext cx="3699334" cy="595504"/>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accent1">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BDA89" id="Freeform: Shape 1" o:spid="_x0000_s1026" style="position:absolute;margin-left:-57pt;margin-top:22.5pt;width:291.3pt;height:46.9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7527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" path="m7144,7144r2742247,l2749391,380524r-2742247,l7144,7144xe" fillcolor="#073662 [1604]" stroked="f">
                  <v:stroke joinstyle="miter"/>
                  <v:path arrowok="t" o:connecttype="custom" o:connectlocs="9601,11166;3694854,11166;3694854,594760;9601,594760" o:connectangles="0,0,0,0"/>
                </v:shape>
              </w:pict>
            </mc:Fallback>
          </mc:AlternateContent>
        </w:r>
        <w:r w:rsidR="008678F9">
          <w:fldChar w:fldCharType="begin"/>
        </w:r>
        <w:r w:rsidR="008678F9">
          <w:instrText xml:space="preserve"> PAGE   \* MERGEFORMAT </w:instrText>
        </w:r>
        <w:r w:rsidR="008678F9">
          <w:fldChar w:fldCharType="separate"/>
        </w:r>
        <w:r w:rsidR="008678F9">
          <w:rPr>
            <w:noProof/>
          </w:rPr>
          <w:t>2</w:t>
        </w:r>
        <w:r w:rsidR="008678F9">
          <w:rPr>
            <w:noProof/>
          </w:rPr>
          <w:fldChar w:fldCharType="end"/>
        </w:r>
      </w:p>
      <w:p w14:paraId="00D658FA" w14:textId="1AA721EC" w:rsidR="00756B5A" w:rsidRDefault="00A44FBB" w:rsidP="00232314">
        <w:pPr>
          <w:pStyle w:val="Footer"/>
        </w:pPr>
        <w:r>
          <w:rPr>
            <w:noProof/>
          </w:rPr>
          <mc:AlternateContent>
            <mc:Choice Requires="wps">
              <w:drawing>
                <wp:anchor distT="0" distB="0" distL="114300" distR="114300" simplePos="0" relativeHeight="251681790" behindDoc="0" locked="0" layoutInCell="1" allowOverlap="1" wp14:anchorId="2B1DA9C5" wp14:editId="7D155B2D">
                  <wp:simplePos x="0" y="0"/>
                  <wp:positionH relativeFrom="column">
                    <wp:posOffset>3381375</wp:posOffset>
                  </wp:positionH>
                  <wp:positionV relativeFrom="paragraph">
                    <wp:posOffset>95250</wp:posOffset>
                  </wp:positionV>
                  <wp:extent cx="3699334" cy="595504"/>
                  <wp:effectExtent l="0" t="0" r="0" b="0"/>
                  <wp:wrapNone/>
                  <wp:docPr id="14" name="Freeform: Shape 14"/>
                  <wp:cNvGraphicFramePr/>
                  <a:graphic xmlns:a="http://schemas.openxmlformats.org/drawingml/2006/main">
                    <a:graphicData uri="http://schemas.microsoft.com/office/word/2010/wordprocessingShape">
                      <wps:wsp>
                        <wps:cNvSpPr/>
                        <wps:spPr>
                          <a:xfrm>
                            <a:off x="0" y="0"/>
                            <a:ext cx="3699334" cy="595504"/>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228927" id="Freeform: Shape 14" o:spid="_x0000_s1026" style="position:absolute;margin-left:266.25pt;margin-top:7.5pt;width:291.3pt;height:46.9pt;z-index:251681790;visibility:visible;mso-wrap-style:square;mso-wrap-distance-left:9pt;mso-wrap-distance-top:0;mso-wrap-distance-right:9pt;mso-wrap-distance-bottom:0;mso-position-horizontal:absolute;mso-position-horizontal-relative:text;mso-position-vertical:absolute;mso-position-vertical-relative:text;v-text-anchor:middle" coordsize="27527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" path="m7144,7144r2742247,l2749391,380524r-2742247,l7144,7144xe" fillcolor="#59a9f2 [1940]" stroked="f">
                  <v:stroke joinstyle="miter"/>
                  <v:path arrowok="t" o:connecttype="custom" o:connectlocs="9601,11166;3694854,11166;3694854,594760;9601,594760" o:connectangles="0,0,0,0"/>
                </v:shape>
              </w:pict>
            </mc:Fallback>
          </mc:AlternateContent>
        </w:r>
        <w:r>
          <w:rPr>
            <w:noProof/>
          </w:rPr>
          <mc:AlternateContent>
            <mc:Choice Requires="wps">
              <w:drawing>
                <wp:anchor distT="0" distB="0" distL="114300" distR="114300" simplePos="0" relativeHeight="251682815" behindDoc="0" locked="0" layoutInCell="1" allowOverlap="1" wp14:anchorId="3C649922" wp14:editId="43361430">
                  <wp:simplePos x="0" y="0"/>
                  <wp:positionH relativeFrom="column">
                    <wp:posOffset>1495425</wp:posOffset>
                  </wp:positionH>
                  <wp:positionV relativeFrom="paragraph">
                    <wp:posOffset>95250</wp:posOffset>
                  </wp:positionV>
                  <wp:extent cx="3827338" cy="595504"/>
                  <wp:effectExtent l="0" t="0" r="0" b="0"/>
                  <wp:wrapNone/>
                  <wp:docPr id="9" name="Freeform: Shape 9"/>
                  <wp:cNvGraphicFramePr/>
                  <a:graphic xmlns:a="http://schemas.openxmlformats.org/drawingml/2006/main">
                    <a:graphicData uri="http://schemas.microsoft.com/office/word/2010/wordprocessingShape">
                      <wps:wsp>
                        <wps:cNvSpPr/>
                        <wps:spPr>
                          <a:xfrm>
                            <a:off x="0" y="0"/>
                            <a:ext cx="3827338" cy="595504"/>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75404" id="Freeform: Shape 9" o:spid="_x0000_s1026" style="position:absolute;margin-left:117.75pt;margin-top:7.5pt;width:301.35pt;height:46.9pt;z-index:251682815;visibility:visible;mso-wrap-style:square;mso-wrap-distance-left:9pt;mso-wrap-distance-top:0;mso-wrap-distance-right:9pt;mso-wrap-distance-bottom:0;mso-position-horizontal:absolute;mso-position-horizontal-relative:text;mso-position-vertical:absolute;mso-position-vertical-relative:text;v-text-anchor:middle" coordsize="28479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" path="m2297906,7144l7144,7144,558641,380524r2290763,l2297906,7144xe" fillcolor="#0f6fc6 [3204]" stroked="f">
                  <v:stroke joinstyle="miter"/>
                  <v:path arrowok="t" o:connecttype="custom" o:connectlocs="3088111,11166;9601,11166;750747,594760;3829258,594760" o:connectangles="0,0,0,0"/>
                </v:shape>
              </w:pict>
            </mc:Fallback>
          </mc:AlternateContent>
        </w:r>
        <w:r>
          <w:rPr>
            <w:noProof/>
          </w:rPr>
          <mc:AlternateContent>
            <mc:Choice Requires="wps">
              <w:drawing>
                <wp:anchor distT="0" distB="0" distL="114300" distR="114300" simplePos="0" relativeHeight="251687936" behindDoc="0" locked="0" layoutInCell="1" allowOverlap="1" wp14:anchorId="285FE370" wp14:editId="5111EDE9">
                  <wp:simplePos x="0" y="0"/>
                  <wp:positionH relativeFrom="column">
                    <wp:posOffset>1276350</wp:posOffset>
                  </wp:positionH>
                  <wp:positionV relativeFrom="paragraph">
                    <wp:posOffset>95250</wp:posOffset>
                  </wp:positionV>
                  <wp:extent cx="2406487" cy="595504"/>
                  <wp:effectExtent l="0" t="0" r="0" b="0"/>
                  <wp:wrapNone/>
                  <wp:docPr id="7" name="Freeform: Shape 7"/>
                  <wp:cNvGraphicFramePr/>
                  <a:graphic xmlns:a="http://schemas.openxmlformats.org/drawingml/2006/main">
                    <a:graphicData uri="http://schemas.microsoft.com/office/word/2010/wordprocessingShape">
                      <wps:wsp>
                        <wps:cNvSpPr/>
                        <wps:spPr>
                          <a:xfrm>
                            <a:off x="0" y="0"/>
                            <a:ext cx="2406487" cy="595504"/>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accent1">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CD1F8" id="Freeform: Shape 7" o:spid="_x0000_s1026" style="position:absolute;margin-left:100.5pt;margin-top:7.5pt;width:189.5pt;height:46.9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790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" path="m1237774,7144l7144,7144,558641,380524r1230630,l1237774,7144xe" fillcolor="#0b5294 [2404]" stroked="f">
                  <v:stroke joinstyle="miter"/>
                  <v:path arrowok="t" o:connecttype="custom" o:connectlocs="1663420,11166;9601,11166;750747,594760;2404567,594760" o:connectangles="0,0,0,0"/>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7F09" w14:textId="518A8161" w:rsidR="00756B5A" w:rsidRDefault="00346231" w:rsidP="00346231">
    <w:pPr>
      <w:pStyle w:val="Footer"/>
    </w:pPr>
    <w:r>
      <w:t>UnityPoint Health Government and External Affairs</w:t>
    </w:r>
  </w:p>
  <w:p w14:paraId="49923450" w14:textId="77777777" w:rsidR="00A44FBB" w:rsidRPr="00346231" w:rsidRDefault="00A44FBB" w:rsidP="0034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2E0E" w14:textId="77777777" w:rsidR="00AC0392" w:rsidRDefault="00AC0392">
      <w:pPr>
        <w:spacing w:after="0" w:line="240" w:lineRule="auto"/>
      </w:pPr>
      <w:r>
        <w:separator/>
      </w:r>
    </w:p>
    <w:p w14:paraId="124D905A" w14:textId="77777777" w:rsidR="00AC0392" w:rsidRDefault="00AC0392"/>
  </w:footnote>
  <w:footnote w:type="continuationSeparator" w:id="0">
    <w:p w14:paraId="6A207BD1" w14:textId="77777777" w:rsidR="00AC0392" w:rsidRDefault="00AC0392">
      <w:pPr>
        <w:spacing w:after="0" w:line="240" w:lineRule="auto"/>
      </w:pPr>
      <w:r>
        <w:continuationSeparator/>
      </w:r>
    </w:p>
    <w:p w14:paraId="7B3AEDB8" w14:textId="77777777" w:rsidR="00AC0392" w:rsidRDefault="00AC0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DE26" w14:textId="0C32DA4F" w:rsidR="00A44FBB" w:rsidRPr="00A44FBB" w:rsidRDefault="00A44FBB" w:rsidP="00340B6C">
    <w:pPr>
      <w:pStyle w:val="Header"/>
      <w:jc w:val="right"/>
      <w:rPr>
        <w:rFonts w:asciiTheme="minorHAnsi" w:hAnsiTheme="minorHAnsi" w:cstheme="minorHAnsi"/>
        <w:color w:val="auto"/>
        <w:sz w:val="24"/>
      </w:rPr>
    </w:pPr>
    <w:r>
      <w:rPr>
        <w:noProof/>
      </w:rPr>
      <mc:AlternateContent>
        <mc:Choice Requires="wps">
          <w:drawing>
            <wp:anchor distT="0" distB="0" distL="114300" distR="114300" simplePos="0" relativeHeight="251694080" behindDoc="0" locked="0" layoutInCell="1" allowOverlap="1" wp14:anchorId="15EDB835" wp14:editId="16CBA9DE">
              <wp:simplePos x="0" y="0"/>
              <wp:positionH relativeFrom="column">
                <wp:posOffset>3228975</wp:posOffset>
              </wp:positionH>
              <wp:positionV relativeFrom="paragraph">
                <wp:posOffset>-152400</wp:posOffset>
              </wp:positionV>
              <wp:extent cx="2725689" cy="595504"/>
              <wp:effectExtent l="0" t="0" r="0" b="0"/>
              <wp:wrapNone/>
              <wp:docPr id="17" name="Freeform: Shape 17"/>
              <wp:cNvGraphicFramePr/>
              <a:graphic xmlns:a="http://schemas.openxmlformats.org/drawingml/2006/main">
                <a:graphicData uri="http://schemas.microsoft.com/office/word/2010/wordprocessingShape">
                  <wps:wsp>
                    <wps:cNvSpPr/>
                    <wps:spPr>
                      <a:xfrm>
                        <a:off x="0" y="0"/>
                        <a:ext cx="2725689" cy="595504"/>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chemeClr val="accent1">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A94E2" id="Freeform: Shape 17" o:spid="_x0000_s1026" style="position:absolute;margin-left:254.25pt;margin-top:-12pt;width:214.6pt;height:46.9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6859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" path="m1391126,7144l7144,7144,295751,454819r1383030,l1391126,7144xe" fillcolor="#0b5294 [2404]" stroked="f">
              <v:stroke joinstyle="miter"/>
              <v:path arrowok="t" o:connecttype="custom" o:connectlocs="2249078,9305;11550,9305;478150,592403;2714139,592403" o:connectangles="0,0,0,0"/>
            </v:shape>
          </w:pict>
        </mc:Fallback>
      </mc:AlternateContent>
    </w:r>
    <w:r>
      <w:rPr>
        <w:noProof/>
      </w:rPr>
      <mc:AlternateContent>
        <mc:Choice Requires="wps">
          <w:drawing>
            <wp:anchor distT="0" distB="0" distL="114300" distR="114300" simplePos="0" relativeHeight="251692032" behindDoc="0" locked="0" layoutInCell="1" allowOverlap="1" wp14:anchorId="597D05E2" wp14:editId="06DB0C54">
              <wp:simplePos x="0" y="0"/>
              <wp:positionH relativeFrom="column">
                <wp:posOffset>3829050</wp:posOffset>
              </wp:positionH>
              <wp:positionV relativeFrom="paragraph">
                <wp:posOffset>-147955</wp:posOffset>
              </wp:positionV>
              <wp:extent cx="2741088" cy="595504"/>
              <wp:effectExtent l="0" t="0" r="0" b="0"/>
              <wp:wrapNone/>
              <wp:docPr id="16" name="Freeform: Shape 16"/>
              <wp:cNvGraphicFramePr/>
              <a:graphic xmlns:a="http://schemas.openxmlformats.org/drawingml/2006/main">
                <a:graphicData uri="http://schemas.microsoft.com/office/word/2010/wordprocessingShape">
                  <wps:wsp>
                    <wps:cNvSpPr/>
                    <wps:spPr>
                      <a:xfrm>
                        <a:off x="0" y="0"/>
                        <a:ext cx="2741088" cy="595504"/>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0AF30" id="Freeform: Shape 16" o:spid="_x0000_s1026" style="position:absolute;margin-left:301.5pt;margin-top:-11.65pt;width:215.85pt;height:46.9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6954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" path="m1400651,7144l7144,7144,295751,454819r1392555,l1400651,7144xe" fillcolor="#0f6fc6 [3204]" stroked="f">
              <v:stroke joinstyle="miter"/>
              <v:path arrowok="t" o:connecttype="custom" o:connectlocs="2264477,9305;11550,9305;478150,592403;2729538,592403" o:connectangles="0,0,0,0"/>
            </v:shape>
          </w:pict>
        </mc:Fallback>
      </mc:AlternateContent>
    </w:r>
    <w:r>
      <w:rPr>
        <w:noProof/>
      </w:rPr>
      <mc:AlternateContent>
        <mc:Choice Requires="wps">
          <w:drawing>
            <wp:anchor distT="0" distB="0" distL="114300" distR="114300" simplePos="0" relativeHeight="251689984" behindDoc="0" locked="0" layoutInCell="1" allowOverlap="1" wp14:anchorId="7F1FBC7E" wp14:editId="2AFB1901">
              <wp:simplePos x="0" y="0"/>
              <wp:positionH relativeFrom="column">
                <wp:posOffset>3831590</wp:posOffset>
              </wp:positionH>
              <wp:positionV relativeFrom="paragraph">
                <wp:posOffset>-147955</wp:posOffset>
              </wp:positionV>
              <wp:extent cx="3249268" cy="595504"/>
              <wp:effectExtent l="0" t="0" r="0" b="0"/>
              <wp:wrapNone/>
              <wp:docPr id="15" name="Freeform: Shape 15"/>
              <wp:cNvGraphicFramePr/>
              <a:graphic xmlns:a="http://schemas.openxmlformats.org/drawingml/2006/main">
                <a:graphicData uri="http://schemas.microsoft.com/office/word/2010/wordprocessingShape">
                  <wps:wsp>
                    <wps:cNvSpPr/>
                    <wps:spPr>
                      <a:xfrm>
                        <a:off x="0" y="0"/>
                        <a:ext cx="3249268" cy="595504"/>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9F51B" id="Freeform: Shape 15" o:spid="_x0000_s1026" style="position:absolute;margin-left:301.7pt;margin-top:-11.65pt;width:255.85pt;height:46.9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0097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" path="m7144,7144r1998345,l2005489,454819r-1998345,l7144,7144xe" fillcolor="#59a9f2 [1940]" stroked="f">
              <v:stroke joinstyle="miter"/>
              <v:path arrowok="t" o:connecttype="custom" o:connectlocs="11550,9305;3242339,9305;3242339,592403;11550,592403" o:connectangles="0,0,0,0"/>
            </v:shape>
          </w:pict>
        </mc:Fallback>
      </mc:AlternateContent>
    </w:r>
  </w:p>
  <w:p w14:paraId="2573A975" w14:textId="2595AB78" w:rsidR="00340B6C" w:rsidRPr="00A44FBB" w:rsidRDefault="00A44FBB" w:rsidP="00A44FBB">
    <w:pPr>
      <w:pStyle w:val="Header"/>
      <w:rPr>
        <w:b/>
        <w:bCs/>
        <w:color w:val="auto"/>
        <w:sz w:val="28"/>
        <w:szCs w:val="28"/>
      </w:rPr>
    </w:pPr>
    <w:r w:rsidRPr="00A44FBB">
      <w:rPr>
        <w:rFonts w:asciiTheme="minorHAnsi" w:hAnsiTheme="minorHAnsi" w:cstheme="minorHAnsi"/>
        <w:b/>
        <w:bCs/>
        <w:color w:val="auto"/>
        <w:sz w:val="28"/>
        <w:szCs w:val="28"/>
      </w:rPr>
      <w:t>H.R. 133 – Select Health Care Provisions</w:t>
    </w:r>
  </w:p>
  <w:p w14:paraId="59053AFF" w14:textId="77777777" w:rsidR="00340B6C" w:rsidRDefault="00340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1544" w14:textId="77777777" w:rsidR="00756B5A" w:rsidRDefault="00C7085C">
    <w:pPr>
      <w:pStyle w:val="Header"/>
    </w:pPr>
    <w:r>
      <w:rPr>
        <w:noProof/>
      </w:rPr>
      <mc:AlternateContent>
        <mc:Choice Requires="wpg">
          <w:drawing>
            <wp:anchor distT="0" distB="0" distL="114300" distR="114300" simplePos="0" relativeHeight="251683840" behindDoc="0" locked="0" layoutInCell="1" allowOverlap="1" wp14:anchorId="0A781FA2" wp14:editId="06B185B2">
              <wp:simplePos x="0" y="0"/>
              <wp:positionH relativeFrom="page">
                <wp:align>center</wp:align>
              </wp:positionH>
              <wp:positionV relativeFrom="page">
                <wp:align>bottom</wp:align>
              </wp:positionV>
              <wp:extent cx="7883150" cy="9679094"/>
              <wp:effectExtent l="0" t="0" r="5715" b="889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83150" cy="9679094"/>
                        <a:chOff x="0" y="0"/>
                        <a:chExt cx="7883150" cy="9679094"/>
                      </a:xfrm>
                    </wpg:grpSpPr>
                    <wpg:grpSp>
                      <wpg:cNvPr id="13" name="Group 13"/>
                      <wpg:cNvGrpSpPr/>
                      <wpg:grpSpPr>
                        <a:xfrm>
                          <a:off x="0" y="9084734"/>
                          <a:ext cx="7883150" cy="594360"/>
                          <a:chOff x="0" y="0"/>
                          <a:chExt cx="7883150" cy="576956"/>
                        </a:xfrm>
                      </wpg:grpSpPr>
                      <wps:wsp>
                        <wps:cNvPr id="10" name="Freeform: Shape 2">
                          <a:extLst>
                            <a:ext uri="{FF2B5EF4-FFF2-40B4-BE49-F238E27FC236}">
                              <a16:creationId xmlns:a16="http://schemas.microsoft.com/office/drawing/2014/main" id="{7FE843AF-43C2-485A-B221-54BEF0341D97}"/>
                            </a:ext>
                          </a:extLst>
                        </wps:cNvPr>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3">
                          <a:extLst>
                            <a:ext uri="{FF2B5EF4-FFF2-40B4-BE49-F238E27FC236}">
                              <a16:creationId xmlns:a16="http://schemas.microsoft.com/office/drawing/2014/main" id="{EA2A9033-B10F-4DEB-BC0F-4AFA6BCDBBE7}"/>
                            </a:ext>
                          </a:extLst>
                        </wps:cNvPr>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accent1">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4">
                          <a:extLst>
                            <a:ext uri="{FF2B5EF4-FFF2-40B4-BE49-F238E27FC236}">
                              <a16:creationId xmlns:a16="http://schemas.microsoft.com/office/drawing/2014/main" id="{3FB14500-D17B-4FA5-B611-0C0482162C60}"/>
                            </a:ext>
                          </a:extLst>
                        </wps:cNvPr>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5">
                          <a:extLst>
                            <a:ext uri="{FF2B5EF4-FFF2-40B4-BE49-F238E27FC236}">
                              <a16:creationId xmlns:a16="http://schemas.microsoft.com/office/drawing/2014/main" id="{2C213B07-C5E9-45EC-8441-F74617EDCDA4}"/>
                            </a:ext>
                          </a:extLst>
                        </wps:cNvPr>
                        <wps:cNvSpPr/>
                        <wps:spPr>
                          <a:xfrm>
                            <a:off x="1999607"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accent1">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 name="Group 12"/>
                      <wpg:cNvGrpSpPr/>
                      <wpg:grpSpPr>
                        <a:xfrm>
                          <a:off x="4140200" y="0"/>
                          <a:ext cx="3737711" cy="594360"/>
                          <a:chOff x="0" y="0"/>
                          <a:chExt cx="3737711" cy="727788"/>
                        </a:xfrm>
                      </wpg:grpSpPr>
                      <wps:wsp>
                        <wps:cNvPr id="20" name="Freeform: Shape 8"/>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chemeClr val="accent1">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10"/>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chemeClr val="accent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11"/>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chemeClr val="accent1">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101400</wp14:pctWidth>
              </wp14:sizeRelH>
              <wp14:sizeRelV relativeFrom="page">
                <wp14:pctHeight>96500</wp14:pctHeight>
              </wp14:sizeRelV>
            </wp:anchor>
          </w:drawing>
        </mc:Choice>
        <mc:Fallback>
          <w:pict>
            <v:group w14:anchorId="2C72D59B" id="Group 6" o:spid="_x0000_s1026" style="position:absolute;margin-left:0;margin-top:0;width:620.7pt;height:762.15pt;z-index:251683840;mso-width-percent:1014;mso-height-percent:965;mso-position-horizontal:center;mso-position-horizontal-relative:page;mso-position-vertical:bottom;mso-position-vertical-relative:page;mso-width-percent:1014;mso-height-percent:965" coordsize="78831,9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">
              <v:group id="Group 13" o:spid="_x0000_s1027" style="position:absolute;top:90847;width:78831;height:5943" coordsize="78831,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Shape 2" o:spid="_x0000_s1028"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" path="m7144,7144r2742247,l2749391,380524r-2742247,l7144,7144xe" fillcolor="#59a9f2 [1940]" stroked="f">
                  <v:stroke joinstyle="miter"/>
                  <v:path arrowok="t" o:connecttype="custom" o:connectlocs="9610,10818;3698551,10818;3698551,576235;9610,576235" o:connectangles="0,0,0,0"/>
                </v:shape>
                <v:shape id="Freeform: Shape 3" o:spid="_x0000_s1029"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" path="m7144,7144r2742247,l2749391,380524r-2742247,l7144,7144xe" fillcolor="#073662 [1604]" stroked="f">
                  <v:stroke joinstyle="miter"/>
                  <v:path arrowok="t" o:connecttype="custom" o:connectlocs="9610,10818;3698551,10818;3698551,576235;9610,576235" o:connectangles="0,0,0,0"/>
                </v:shape>
                <v:shape id="Freeform: Shape 4" o:spid="_x0000_s1030"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" path="m2297906,7144l7144,7144,558641,380524r2290763,l2297906,7144xe" fillcolor="#0f6fc6 [3204]" stroked="f">
                  <v:stroke joinstyle="miter"/>
                  <v:path arrowok="t" o:connecttype="custom" o:connectlocs="3091201,10818;9610,10818;751498,576235;3833090,576235" o:connectangles="0,0,0,0"/>
                </v:shape>
                <v:shape id="Freeform: Shape 5" o:spid="_x0000_s1031" style="position:absolute;left:19996;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" path="m1237774,7144l7144,7144,558641,380524r1230630,l1237774,7144xe" fillcolor="#0b5294 [2404]" stroked="f">
                  <v:stroke joinstyle="miter"/>
                  <v:path arrowok="t" o:connecttype="custom" o:connectlocs="1665085,10818;9610,10818;751498,576235;2406973,576235" o:connectangles="0,0,0,0"/>
                </v:shape>
              </v:group>
              <v:group id="Group 12" o:spid="_x0000_s1032" style="position:absolute;left:41402;width:37377;height:5943" coordsize="37377,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8" o:spid="_x0000_s1033"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" path="m7144,7144r1998345,l2005489,454819r-1998345,l7144,7144xe" fillcolor="#59a9f2 [1940]" stroked="f">
                  <v:stroke joinstyle="miter"/>
                  <v:path arrowok="t" o:connecttype="custom" o:connectlocs="11561,11372;3245583,11372;3245583,723998;11561,723998" o:connectangles="0,0,0,0"/>
                </v:shape>
                <v:shape id="Freeform: Shape 10" o:spid="_x0000_s1034"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" path="m1400651,7144l7144,7144,295751,454819r1392555,l1400651,7144xe" fillcolor="#0f6fc6 [3204]" stroked="f">
                  <v:stroke joinstyle="miter"/>
                  <v:path arrowok="t" o:connecttype="custom" o:connectlocs="2266743,11372;11561,11372;478629,723998;2732270,723998" o:connectangles="0,0,0,0"/>
                </v:shape>
                <v:shape id="Freeform: Shape 11" o:spid="_x0000_s1035"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" path="m1391126,7144l7144,7144,295751,454819r1383030,l1391126,7144xe" fillcolor="#0b5294 [2404]" stroked="f">
                  <v:stroke joinstyle="miter"/>
                  <v:path arrowok="t" o:connecttype="custom" o:connectlocs="2251328,11372;11561,11372;478629,723998;2716855,723998" o:connectangles="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304C"/>
    <w:multiLevelType w:val="hybridMultilevel"/>
    <w:tmpl w:val="FF92255C"/>
    <w:lvl w:ilvl="0" w:tplc="B86E01D2">
      <w:start w:val="1"/>
      <w:numFmt w:val="bullet"/>
      <w:lvlText w:val=""/>
      <w:lvlJc w:val="left"/>
      <w:pPr>
        <w:ind w:left="720" w:hanging="360"/>
      </w:pPr>
      <w:rPr>
        <w:rFonts w:ascii="Symbol" w:hAnsi="Symbol" w:hint="default"/>
      </w:rPr>
    </w:lvl>
    <w:lvl w:ilvl="1" w:tplc="4D3444CC">
      <w:start w:val="1"/>
      <w:numFmt w:val="bullet"/>
      <w:lvlText w:val="o"/>
      <w:lvlJc w:val="left"/>
      <w:pPr>
        <w:ind w:left="1440" w:hanging="360"/>
      </w:pPr>
      <w:rPr>
        <w:rFonts w:ascii="Courier New" w:hAnsi="Courier New" w:hint="default"/>
      </w:rPr>
    </w:lvl>
    <w:lvl w:ilvl="2" w:tplc="C0E80D68">
      <w:start w:val="1"/>
      <w:numFmt w:val="bullet"/>
      <w:lvlText w:val=""/>
      <w:lvlJc w:val="left"/>
      <w:pPr>
        <w:ind w:left="2160" w:hanging="360"/>
      </w:pPr>
      <w:rPr>
        <w:rFonts w:ascii="Wingdings" w:hAnsi="Wingdings" w:hint="default"/>
      </w:rPr>
    </w:lvl>
    <w:lvl w:ilvl="3" w:tplc="C87496C4">
      <w:start w:val="1"/>
      <w:numFmt w:val="bullet"/>
      <w:lvlText w:val=""/>
      <w:lvlJc w:val="left"/>
      <w:pPr>
        <w:ind w:left="2880" w:hanging="360"/>
      </w:pPr>
      <w:rPr>
        <w:rFonts w:ascii="Symbol" w:hAnsi="Symbol" w:hint="default"/>
      </w:rPr>
    </w:lvl>
    <w:lvl w:ilvl="4" w:tplc="6C22D496">
      <w:start w:val="1"/>
      <w:numFmt w:val="bullet"/>
      <w:lvlText w:val="o"/>
      <w:lvlJc w:val="left"/>
      <w:pPr>
        <w:ind w:left="3600" w:hanging="360"/>
      </w:pPr>
      <w:rPr>
        <w:rFonts w:ascii="Courier New" w:hAnsi="Courier New" w:hint="default"/>
      </w:rPr>
    </w:lvl>
    <w:lvl w:ilvl="5" w:tplc="3B1AE044">
      <w:start w:val="1"/>
      <w:numFmt w:val="bullet"/>
      <w:lvlText w:val=""/>
      <w:lvlJc w:val="left"/>
      <w:pPr>
        <w:ind w:left="4320" w:hanging="360"/>
      </w:pPr>
      <w:rPr>
        <w:rFonts w:ascii="Wingdings" w:hAnsi="Wingdings" w:hint="default"/>
      </w:rPr>
    </w:lvl>
    <w:lvl w:ilvl="6" w:tplc="2E3AE36A">
      <w:start w:val="1"/>
      <w:numFmt w:val="bullet"/>
      <w:lvlText w:val=""/>
      <w:lvlJc w:val="left"/>
      <w:pPr>
        <w:ind w:left="5040" w:hanging="360"/>
      </w:pPr>
      <w:rPr>
        <w:rFonts w:ascii="Symbol" w:hAnsi="Symbol" w:hint="default"/>
      </w:rPr>
    </w:lvl>
    <w:lvl w:ilvl="7" w:tplc="EA427448">
      <w:start w:val="1"/>
      <w:numFmt w:val="bullet"/>
      <w:lvlText w:val="o"/>
      <w:lvlJc w:val="left"/>
      <w:pPr>
        <w:ind w:left="5760" w:hanging="360"/>
      </w:pPr>
      <w:rPr>
        <w:rFonts w:ascii="Courier New" w:hAnsi="Courier New" w:hint="default"/>
      </w:rPr>
    </w:lvl>
    <w:lvl w:ilvl="8" w:tplc="4CF6E5F6">
      <w:start w:val="1"/>
      <w:numFmt w:val="bullet"/>
      <w:lvlText w:val=""/>
      <w:lvlJc w:val="left"/>
      <w:pPr>
        <w:ind w:left="6480" w:hanging="360"/>
      </w:pPr>
      <w:rPr>
        <w:rFonts w:ascii="Wingdings" w:hAnsi="Wingdings" w:hint="default"/>
      </w:rPr>
    </w:lvl>
  </w:abstractNum>
  <w:abstractNum w:abstractNumId="1" w15:restartNumberingAfterBreak="0">
    <w:nsid w:val="07AD1D57"/>
    <w:multiLevelType w:val="hybridMultilevel"/>
    <w:tmpl w:val="7C7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5737"/>
    <w:multiLevelType w:val="hybridMultilevel"/>
    <w:tmpl w:val="5414FF18"/>
    <w:lvl w:ilvl="0" w:tplc="C2FCC292">
      <w:start w:val="1"/>
      <w:numFmt w:val="bullet"/>
      <w:lvlText w:val=""/>
      <w:lvlJc w:val="left"/>
      <w:pPr>
        <w:ind w:left="720" w:hanging="360"/>
      </w:pPr>
      <w:rPr>
        <w:rFonts w:ascii="Symbol" w:hAnsi="Symbol" w:hint="default"/>
      </w:rPr>
    </w:lvl>
    <w:lvl w:ilvl="1" w:tplc="D21E7D4E">
      <w:start w:val="1"/>
      <w:numFmt w:val="bullet"/>
      <w:lvlText w:val="o"/>
      <w:lvlJc w:val="left"/>
      <w:pPr>
        <w:ind w:left="1440" w:hanging="360"/>
      </w:pPr>
      <w:rPr>
        <w:rFonts w:ascii="Courier New" w:hAnsi="Courier New" w:hint="default"/>
      </w:rPr>
    </w:lvl>
    <w:lvl w:ilvl="2" w:tplc="8C4E2842">
      <w:start w:val="1"/>
      <w:numFmt w:val="bullet"/>
      <w:lvlText w:val=""/>
      <w:lvlJc w:val="left"/>
      <w:pPr>
        <w:ind w:left="2160" w:hanging="360"/>
      </w:pPr>
      <w:rPr>
        <w:rFonts w:ascii="Wingdings" w:hAnsi="Wingdings" w:hint="default"/>
      </w:rPr>
    </w:lvl>
    <w:lvl w:ilvl="3" w:tplc="EC528C1C">
      <w:start w:val="1"/>
      <w:numFmt w:val="bullet"/>
      <w:lvlText w:val=""/>
      <w:lvlJc w:val="left"/>
      <w:pPr>
        <w:ind w:left="2880" w:hanging="360"/>
      </w:pPr>
      <w:rPr>
        <w:rFonts w:ascii="Symbol" w:hAnsi="Symbol" w:hint="default"/>
      </w:rPr>
    </w:lvl>
    <w:lvl w:ilvl="4" w:tplc="A7FAD2B0">
      <w:start w:val="1"/>
      <w:numFmt w:val="bullet"/>
      <w:lvlText w:val="o"/>
      <w:lvlJc w:val="left"/>
      <w:pPr>
        <w:ind w:left="3600" w:hanging="360"/>
      </w:pPr>
      <w:rPr>
        <w:rFonts w:ascii="Courier New" w:hAnsi="Courier New" w:hint="default"/>
      </w:rPr>
    </w:lvl>
    <w:lvl w:ilvl="5" w:tplc="28D6FAC8">
      <w:start w:val="1"/>
      <w:numFmt w:val="bullet"/>
      <w:lvlText w:val=""/>
      <w:lvlJc w:val="left"/>
      <w:pPr>
        <w:ind w:left="4320" w:hanging="360"/>
      </w:pPr>
      <w:rPr>
        <w:rFonts w:ascii="Wingdings" w:hAnsi="Wingdings" w:hint="default"/>
      </w:rPr>
    </w:lvl>
    <w:lvl w:ilvl="6" w:tplc="8C924192">
      <w:start w:val="1"/>
      <w:numFmt w:val="bullet"/>
      <w:lvlText w:val=""/>
      <w:lvlJc w:val="left"/>
      <w:pPr>
        <w:ind w:left="5040" w:hanging="360"/>
      </w:pPr>
      <w:rPr>
        <w:rFonts w:ascii="Symbol" w:hAnsi="Symbol" w:hint="default"/>
      </w:rPr>
    </w:lvl>
    <w:lvl w:ilvl="7" w:tplc="0F2C6B20">
      <w:start w:val="1"/>
      <w:numFmt w:val="bullet"/>
      <w:lvlText w:val="o"/>
      <w:lvlJc w:val="left"/>
      <w:pPr>
        <w:ind w:left="5760" w:hanging="360"/>
      </w:pPr>
      <w:rPr>
        <w:rFonts w:ascii="Courier New" w:hAnsi="Courier New" w:hint="default"/>
      </w:rPr>
    </w:lvl>
    <w:lvl w:ilvl="8" w:tplc="4036D188">
      <w:start w:val="1"/>
      <w:numFmt w:val="bullet"/>
      <w:lvlText w:val=""/>
      <w:lvlJc w:val="left"/>
      <w:pPr>
        <w:ind w:left="6480" w:hanging="360"/>
      </w:pPr>
      <w:rPr>
        <w:rFonts w:ascii="Wingdings" w:hAnsi="Wingdings" w:hint="default"/>
      </w:rPr>
    </w:lvl>
  </w:abstractNum>
  <w:abstractNum w:abstractNumId="3" w15:restartNumberingAfterBreak="0">
    <w:nsid w:val="16A7470A"/>
    <w:multiLevelType w:val="hybridMultilevel"/>
    <w:tmpl w:val="3E6C1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052A7F"/>
    <w:multiLevelType w:val="hybridMultilevel"/>
    <w:tmpl w:val="F530CFD4"/>
    <w:lvl w:ilvl="0" w:tplc="77C2C2AA">
      <w:start w:val="1"/>
      <w:numFmt w:val="bullet"/>
      <w:lvlText w:val=""/>
      <w:lvlJc w:val="left"/>
      <w:pPr>
        <w:ind w:left="720" w:hanging="360"/>
      </w:pPr>
      <w:rPr>
        <w:rFonts w:ascii="Symbol" w:hAnsi="Symbol" w:hint="default"/>
      </w:rPr>
    </w:lvl>
    <w:lvl w:ilvl="1" w:tplc="AD2C237E">
      <w:start w:val="1"/>
      <w:numFmt w:val="bullet"/>
      <w:lvlText w:val="o"/>
      <w:lvlJc w:val="left"/>
      <w:pPr>
        <w:ind w:left="1440" w:hanging="360"/>
      </w:pPr>
      <w:rPr>
        <w:rFonts w:ascii="Courier New" w:hAnsi="Courier New" w:hint="default"/>
      </w:rPr>
    </w:lvl>
    <w:lvl w:ilvl="2" w:tplc="0B18FE6E">
      <w:start w:val="1"/>
      <w:numFmt w:val="bullet"/>
      <w:lvlText w:val=""/>
      <w:lvlJc w:val="left"/>
      <w:pPr>
        <w:ind w:left="2160" w:hanging="360"/>
      </w:pPr>
      <w:rPr>
        <w:rFonts w:ascii="Wingdings" w:hAnsi="Wingdings" w:hint="default"/>
      </w:rPr>
    </w:lvl>
    <w:lvl w:ilvl="3" w:tplc="81F2B662">
      <w:start w:val="1"/>
      <w:numFmt w:val="bullet"/>
      <w:lvlText w:val=""/>
      <w:lvlJc w:val="left"/>
      <w:pPr>
        <w:ind w:left="2880" w:hanging="360"/>
      </w:pPr>
      <w:rPr>
        <w:rFonts w:ascii="Symbol" w:hAnsi="Symbol" w:hint="default"/>
      </w:rPr>
    </w:lvl>
    <w:lvl w:ilvl="4" w:tplc="6D4C5A08">
      <w:start w:val="1"/>
      <w:numFmt w:val="bullet"/>
      <w:lvlText w:val="o"/>
      <w:lvlJc w:val="left"/>
      <w:pPr>
        <w:ind w:left="3600" w:hanging="360"/>
      </w:pPr>
      <w:rPr>
        <w:rFonts w:ascii="Courier New" w:hAnsi="Courier New" w:hint="default"/>
      </w:rPr>
    </w:lvl>
    <w:lvl w:ilvl="5" w:tplc="7EC8293A">
      <w:start w:val="1"/>
      <w:numFmt w:val="bullet"/>
      <w:lvlText w:val=""/>
      <w:lvlJc w:val="left"/>
      <w:pPr>
        <w:ind w:left="4320" w:hanging="360"/>
      </w:pPr>
      <w:rPr>
        <w:rFonts w:ascii="Wingdings" w:hAnsi="Wingdings" w:hint="default"/>
      </w:rPr>
    </w:lvl>
    <w:lvl w:ilvl="6" w:tplc="FBD4B0D6">
      <w:start w:val="1"/>
      <w:numFmt w:val="bullet"/>
      <w:lvlText w:val=""/>
      <w:lvlJc w:val="left"/>
      <w:pPr>
        <w:ind w:left="5040" w:hanging="360"/>
      </w:pPr>
      <w:rPr>
        <w:rFonts w:ascii="Symbol" w:hAnsi="Symbol" w:hint="default"/>
      </w:rPr>
    </w:lvl>
    <w:lvl w:ilvl="7" w:tplc="B554FEEC">
      <w:start w:val="1"/>
      <w:numFmt w:val="bullet"/>
      <w:lvlText w:val="o"/>
      <w:lvlJc w:val="left"/>
      <w:pPr>
        <w:ind w:left="5760" w:hanging="360"/>
      </w:pPr>
      <w:rPr>
        <w:rFonts w:ascii="Courier New" w:hAnsi="Courier New" w:hint="default"/>
      </w:rPr>
    </w:lvl>
    <w:lvl w:ilvl="8" w:tplc="437C6EF2">
      <w:start w:val="1"/>
      <w:numFmt w:val="bullet"/>
      <w:lvlText w:val=""/>
      <w:lvlJc w:val="left"/>
      <w:pPr>
        <w:ind w:left="6480" w:hanging="360"/>
      </w:pPr>
      <w:rPr>
        <w:rFonts w:ascii="Wingdings" w:hAnsi="Wingdings" w:hint="default"/>
      </w:rPr>
    </w:lvl>
  </w:abstractNum>
  <w:abstractNum w:abstractNumId="5" w15:restartNumberingAfterBreak="0">
    <w:nsid w:val="46BA067D"/>
    <w:multiLevelType w:val="hybridMultilevel"/>
    <w:tmpl w:val="4414153E"/>
    <w:lvl w:ilvl="0" w:tplc="35E638D8">
      <w:start w:val="1"/>
      <w:numFmt w:val="bullet"/>
      <w:lvlText w:val=""/>
      <w:lvlJc w:val="left"/>
      <w:pPr>
        <w:ind w:left="720" w:hanging="360"/>
      </w:pPr>
      <w:rPr>
        <w:rFonts w:ascii="Symbol" w:hAnsi="Symbol" w:hint="default"/>
      </w:rPr>
    </w:lvl>
    <w:lvl w:ilvl="1" w:tplc="1B747AEE">
      <w:start w:val="1"/>
      <w:numFmt w:val="bullet"/>
      <w:lvlText w:val="o"/>
      <w:lvlJc w:val="left"/>
      <w:pPr>
        <w:ind w:left="1440" w:hanging="360"/>
      </w:pPr>
      <w:rPr>
        <w:rFonts w:ascii="Courier New" w:hAnsi="Courier New" w:hint="default"/>
      </w:rPr>
    </w:lvl>
    <w:lvl w:ilvl="2" w:tplc="738A02EA">
      <w:start w:val="1"/>
      <w:numFmt w:val="bullet"/>
      <w:lvlText w:val=""/>
      <w:lvlJc w:val="left"/>
      <w:pPr>
        <w:ind w:left="2160" w:hanging="360"/>
      </w:pPr>
      <w:rPr>
        <w:rFonts w:ascii="Wingdings" w:hAnsi="Wingdings" w:hint="default"/>
      </w:rPr>
    </w:lvl>
    <w:lvl w:ilvl="3" w:tplc="33EC5DE8">
      <w:start w:val="1"/>
      <w:numFmt w:val="bullet"/>
      <w:lvlText w:val=""/>
      <w:lvlJc w:val="left"/>
      <w:pPr>
        <w:ind w:left="2880" w:hanging="360"/>
      </w:pPr>
      <w:rPr>
        <w:rFonts w:ascii="Symbol" w:hAnsi="Symbol" w:hint="default"/>
      </w:rPr>
    </w:lvl>
    <w:lvl w:ilvl="4" w:tplc="18307268">
      <w:start w:val="1"/>
      <w:numFmt w:val="bullet"/>
      <w:lvlText w:val="o"/>
      <w:lvlJc w:val="left"/>
      <w:pPr>
        <w:ind w:left="3600" w:hanging="360"/>
      </w:pPr>
      <w:rPr>
        <w:rFonts w:ascii="Courier New" w:hAnsi="Courier New" w:hint="default"/>
      </w:rPr>
    </w:lvl>
    <w:lvl w:ilvl="5" w:tplc="83223668">
      <w:start w:val="1"/>
      <w:numFmt w:val="bullet"/>
      <w:lvlText w:val=""/>
      <w:lvlJc w:val="left"/>
      <w:pPr>
        <w:ind w:left="4320" w:hanging="360"/>
      </w:pPr>
      <w:rPr>
        <w:rFonts w:ascii="Wingdings" w:hAnsi="Wingdings" w:hint="default"/>
      </w:rPr>
    </w:lvl>
    <w:lvl w:ilvl="6" w:tplc="83C470BE">
      <w:start w:val="1"/>
      <w:numFmt w:val="bullet"/>
      <w:lvlText w:val=""/>
      <w:lvlJc w:val="left"/>
      <w:pPr>
        <w:ind w:left="5040" w:hanging="360"/>
      </w:pPr>
      <w:rPr>
        <w:rFonts w:ascii="Symbol" w:hAnsi="Symbol" w:hint="default"/>
      </w:rPr>
    </w:lvl>
    <w:lvl w:ilvl="7" w:tplc="8D36E53C">
      <w:start w:val="1"/>
      <w:numFmt w:val="bullet"/>
      <w:lvlText w:val="o"/>
      <w:lvlJc w:val="left"/>
      <w:pPr>
        <w:ind w:left="5760" w:hanging="360"/>
      </w:pPr>
      <w:rPr>
        <w:rFonts w:ascii="Courier New" w:hAnsi="Courier New" w:hint="default"/>
      </w:rPr>
    </w:lvl>
    <w:lvl w:ilvl="8" w:tplc="CBB6A186">
      <w:start w:val="1"/>
      <w:numFmt w:val="bullet"/>
      <w:lvlText w:val=""/>
      <w:lvlJc w:val="left"/>
      <w:pPr>
        <w:ind w:left="6480" w:hanging="360"/>
      </w:pPr>
      <w:rPr>
        <w:rFonts w:ascii="Wingdings" w:hAnsi="Wingdings" w:hint="default"/>
      </w:rPr>
    </w:lvl>
  </w:abstractNum>
  <w:abstractNum w:abstractNumId="6" w15:restartNumberingAfterBreak="0">
    <w:nsid w:val="49CE2B61"/>
    <w:multiLevelType w:val="hybridMultilevel"/>
    <w:tmpl w:val="B580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375DF"/>
    <w:multiLevelType w:val="hybridMultilevel"/>
    <w:tmpl w:val="ACD6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42FD7"/>
    <w:multiLevelType w:val="hybridMultilevel"/>
    <w:tmpl w:val="F510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F5F93"/>
    <w:multiLevelType w:val="hybridMultilevel"/>
    <w:tmpl w:val="B6E87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F0B7C"/>
    <w:multiLevelType w:val="hybridMultilevel"/>
    <w:tmpl w:val="D3B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74488"/>
    <w:multiLevelType w:val="hybridMultilevel"/>
    <w:tmpl w:val="91584142"/>
    <w:lvl w:ilvl="0" w:tplc="0DAE1212">
      <w:start w:val="1"/>
      <w:numFmt w:val="bullet"/>
      <w:lvlText w:val=""/>
      <w:lvlJc w:val="left"/>
      <w:pPr>
        <w:ind w:left="720" w:hanging="360"/>
      </w:pPr>
      <w:rPr>
        <w:rFonts w:ascii="Symbol" w:hAnsi="Symbol" w:hint="default"/>
      </w:rPr>
    </w:lvl>
    <w:lvl w:ilvl="1" w:tplc="8D823AF2">
      <w:start w:val="1"/>
      <w:numFmt w:val="bullet"/>
      <w:lvlText w:val="o"/>
      <w:lvlJc w:val="left"/>
      <w:pPr>
        <w:ind w:left="1440" w:hanging="360"/>
      </w:pPr>
      <w:rPr>
        <w:rFonts w:ascii="Courier New" w:hAnsi="Courier New" w:hint="default"/>
      </w:rPr>
    </w:lvl>
    <w:lvl w:ilvl="2" w:tplc="BA26D276">
      <w:start w:val="1"/>
      <w:numFmt w:val="bullet"/>
      <w:lvlText w:val=""/>
      <w:lvlJc w:val="left"/>
      <w:pPr>
        <w:ind w:left="2160" w:hanging="360"/>
      </w:pPr>
      <w:rPr>
        <w:rFonts w:ascii="Wingdings" w:hAnsi="Wingdings" w:hint="default"/>
      </w:rPr>
    </w:lvl>
    <w:lvl w:ilvl="3" w:tplc="7196FD70">
      <w:start w:val="1"/>
      <w:numFmt w:val="bullet"/>
      <w:lvlText w:val=""/>
      <w:lvlJc w:val="left"/>
      <w:pPr>
        <w:ind w:left="2880" w:hanging="360"/>
      </w:pPr>
      <w:rPr>
        <w:rFonts w:ascii="Symbol" w:hAnsi="Symbol" w:hint="default"/>
      </w:rPr>
    </w:lvl>
    <w:lvl w:ilvl="4" w:tplc="63A63CCE">
      <w:start w:val="1"/>
      <w:numFmt w:val="bullet"/>
      <w:lvlText w:val="o"/>
      <w:lvlJc w:val="left"/>
      <w:pPr>
        <w:ind w:left="3600" w:hanging="360"/>
      </w:pPr>
      <w:rPr>
        <w:rFonts w:ascii="Courier New" w:hAnsi="Courier New" w:hint="default"/>
      </w:rPr>
    </w:lvl>
    <w:lvl w:ilvl="5" w:tplc="FD1833C8">
      <w:start w:val="1"/>
      <w:numFmt w:val="bullet"/>
      <w:lvlText w:val=""/>
      <w:lvlJc w:val="left"/>
      <w:pPr>
        <w:ind w:left="4320" w:hanging="360"/>
      </w:pPr>
      <w:rPr>
        <w:rFonts w:ascii="Wingdings" w:hAnsi="Wingdings" w:hint="default"/>
      </w:rPr>
    </w:lvl>
    <w:lvl w:ilvl="6" w:tplc="C6089A76">
      <w:start w:val="1"/>
      <w:numFmt w:val="bullet"/>
      <w:lvlText w:val=""/>
      <w:lvlJc w:val="left"/>
      <w:pPr>
        <w:ind w:left="5040" w:hanging="360"/>
      </w:pPr>
      <w:rPr>
        <w:rFonts w:ascii="Symbol" w:hAnsi="Symbol" w:hint="default"/>
      </w:rPr>
    </w:lvl>
    <w:lvl w:ilvl="7" w:tplc="3E5012E2">
      <w:start w:val="1"/>
      <w:numFmt w:val="bullet"/>
      <w:lvlText w:val="o"/>
      <w:lvlJc w:val="left"/>
      <w:pPr>
        <w:ind w:left="5760" w:hanging="360"/>
      </w:pPr>
      <w:rPr>
        <w:rFonts w:ascii="Courier New" w:hAnsi="Courier New" w:hint="default"/>
      </w:rPr>
    </w:lvl>
    <w:lvl w:ilvl="8" w:tplc="BB3C9650">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4"/>
  </w:num>
  <w:num w:numId="6">
    <w:abstractNumId w:val="9"/>
  </w:num>
  <w:num w:numId="7">
    <w:abstractNumId w:val="7"/>
  </w:num>
  <w:num w:numId="8">
    <w:abstractNumId w:val="10"/>
  </w:num>
  <w:num w:numId="9">
    <w:abstractNumId w:val="3"/>
  </w:num>
  <w:num w:numId="10">
    <w:abstractNumId w:val="3"/>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OJTtXumHaeCDB4doVX+xEtW8VKBfn05W1C8P6P6xvnYixnDPlh+MlIsEGs2hweDKr3qJ0Itd0gDhkjUP8EVW0Q==" w:salt="npeKU4WMw4J5WgcSs1N5e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2A"/>
    <w:rsid w:val="00066BAA"/>
    <w:rsid w:val="000A2F59"/>
    <w:rsid w:val="000E3A87"/>
    <w:rsid w:val="000F6CDF"/>
    <w:rsid w:val="0015701C"/>
    <w:rsid w:val="00187D0C"/>
    <w:rsid w:val="001C0051"/>
    <w:rsid w:val="001D18F6"/>
    <w:rsid w:val="001D1C7B"/>
    <w:rsid w:val="00201C80"/>
    <w:rsid w:val="00220381"/>
    <w:rsid w:val="002226E2"/>
    <w:rsid w:val="00232314"/>
    <w:rsid w:val="0023462A"/>
    <w:rsid w:val="00236F27"/>
    <w:rsid w:val="002612C2"/>
    <w:rsid w:val="00265373"/>
    <w:rsid w:val="00273824"/>
    <w:rsid w:val="0028290B"/>
    <w:rsid w:val="00287B6E"/>
    <w:rsid w:val="00293C4A"/>
    <w:rsid w:val="002D0790"/>
    <w:rsid w:val="002E01D1"/>
    <w:rsid w:val="002E6ABA"/>
    <w:rsid w:val="00324CA0"/>
    <w:rsid w:val="003265AB"/>
    <w:rsid w:val="00340B6C"/>
    <w:rsid w:val="00342864"/>
    <w:rsid w:val="00346231"/>
    <w:rsid w:val="00383D01"/>
    <w:rsid w:val="00395689"/>
    <w:rsid w:val="003A5119"/>
    <w:rsid w:val="003B6F05"/>
    <w:rsid w:val="003C0FA4"/>
    <w:rsid w:val="003C2C2C"/>
    <w:rsid w:val="003E7848"/>
    <w:rsid w:val="00447AC3"/>
    <w:rsid w:val="00450163"/>
    <w:rsid w:val="004E230C"/>
    <w:rsid w:val="004E5F56"/>
    <w:rsid w:val="00536A01"/>
    <w:rsid w:val="005B0584"/>
    <w:rsid w:val="005F1CFB"/>
    <w:rsid w:val="006116FD"/>
    <w:rsid w:val="006514D2"/>
    <w:rsid w:val="006825A3"/>
    <w:rsid w:val="006C1327"/>
    <w:rsid w:val="006D439A"/>
    <w:rsid w:val="0070528B"/>
    <w:rsid w:val="00756B5A"/>
    <w:rsid w:val="007813FE"/>
    <w:rsid w:val="007943C3"/>
    <w:rsid w:val="007A39B5"/>
    <w:rsid w:val="007B3DD4"/>
    <w:rsid w:val="007B7657"/>
    <w:rsid w:val="007C78B0"/>
    <w:rsid w:val="0083597E"/>
    <w:rsid w:val="008678F9"/>
    <w:rsid w:val="008D0595"/>
    <w:rsid w:val="0092514C"/>
    <w:rsid w:val="00940FE2"/>
    <w:rsid w:val="00941CFB"/>
    <w:rsid w:val="00973DD1"/>
    <w:rsid w:val="00982BCC"/>
    <w:rsid w:val="009A78DE"/>
    <w:rsid w:val="00A068E8"/>
    <w:rsid w:val="00A2707E"/>
    <w:rsid w:val="00A37E4E"/>
    <w:rsid w:val="00A44FBB"/>
    <w:rsid w:val="00A450DE"/>
    <w:rsid w:val="00A82F39"/>
    <w:rsid w:val="00AB52C3"/>
    <w:rsid w:val="00AC0392"/>
    <w:rsid w:val="00AC1EA1"/>
    <w:rsid w:val="00B12E8C"/>
    <w:rsid w:val="00B16C78"/>
    <w:rsid w:val="00B21054"/>
    <w:rsid w:val="00B4626C"/>
    <w:rsid w:val="00B60BD1"/>
    <w:rsid w:val="00B6372B"/>
    <w:rsid w:val="00B65F4A"/>
    <w:rsid w:val="00C701E9"/>
    <w:rsid w:val="00C7085C"/>
    <w:rsid w:val="00C916E3"/>
    <w:rsid w:val="00C9179B"/>
    <w:rsid w:val="00C93FFE"/>
    <w:rsid w:val="00CA5A56"/>
    <w:rsid w:val="00CD5DC7"/>
    <w:rsid w:val="00CE7C3F"/>
    <w:rsid w:val="00DC6079"/>
    <w:rsid w:val="00E26A56"/>
    <w:rsid w:val="00E3394F"/>
    <w:rsid w:val="00E554AC"/>
    <w:rsid w:val="00E56FAF"/>
    <w:rsid w:val="00EB0670"/>
    <w:rsid w:val="00EF4849"/>
    <w:rsid w:val="00F141BA"/>
    <w:rsid w:val="00F3778A"/>
    <w:rsid w:val="00F45E64"/>
    <w:rsid w:val="00F70692"/>
    <w:rsid w:val="00FA288A"/>
    <w:rsid w:val="00FA5805"/>
    <w:rsid w:val="00FC2DFF"/>
    <w:rsid w:val="06EB7F63"/>
    <w:rsid w:val="0C174E99"/>
    <w:rsid w:val="1B4B5943"/>
    <w:rsid w:val="1F32F4F9"/>
    <w:rsid w:val="316D9F2E"/>
    <w:rsid w:val="39CA959F"/>
    <w:rsid w:val="3CC39F08"/>
    <w:rsid w:val="4F7072C1"/>
    <w:rsid w:val="512831C9"/>
    <w:rsid w:val="656C1D02"/>
    <w:rsid w:val="7F74D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F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9"/>
  </w:style>
  <w:style w:type="paragraph" w:styleId="Heading1">
    <w:name w:val="heading 1"/>
    <w:basedOn w:val="Normal"/>
    <w:next w:val="Normal"/>
    <w:link w:val="Heading1Char"/>
    <w:uiPriority w:val="9"/>
    <w:qFormat/>
    <w:rsid w:val="00293C4A"/>
    <w:pPr>
      <w:keepNext/>
      <w:keepLines/>
      <w:spacing w:before="480" w:after="0" w:line="240" w:lineRule="auto"/>
      <w:outlineLvl w:val="0"/>
    </w:pPr>
    <w:rPr>
      <w:rFonts w:asciiTheme="majorHAnsi" w:eastAsiaTheme="majorEastAsia" w:hAnsiTheme="majorHAnsi" w:cstheme="majorBidi"/>
      <w:b/>
      <w:noProof/>
      <w:color w:val="17406D"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17406D" w:themeColor="text2"/>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0B5294"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17406D"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0B5294"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17406D"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B5294"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0F6FC6" w:themeColor="accent1"/>
      <w:sz w:val="22"/>
    </w:rPr>
  </w:style>
  <w:style w:type="character" w:customStyle="1" w:styleId="DateChar">
    <w:name w:val="Date Char"/>
    <w:basedOn w:val="DefaultParagraphFont"/>
    <w:link w:val="Date"/>
    <w:uiPriority w:val="2"/>
    <w:semiHidden/>
    <w:rPr>
      <w:color w:val="0F6FC6"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0B5294"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293C4A"/>
    <w:rPr>
      <w:rFonts w:asciiTheme="majorHAnsi" w:eastAsiaTheme="majorEastAsia" w:hAnsiTheme="majorHAnsi" w:cstheme="majorBidi"/>
      <w:b/>
      <w:noProof/>
      <w:color w:val="17406D" w:themeColor="text2"/>
      <w:sz w:val="48"/>
      <w:szCs w:val="32"/>
    </w:rPr>
  </w:style>
  <w:style w:type="character" w:customStyle="1" w:styleId="Heading2Char">
    <w:name w:val="Heading 2 Char"/>
    <w:basedOn w:val="DefaultParagraphFont"/>
    <w:link w:val="Heading2"/>
    <w:uiPriority w:val="9"/>
    <w:rsid w:val="00DC6079"/>
    <w:rPr>
      <w:rFonts w:cstheme="majorBidi"/>
      <w:color w:val="17406D"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0B5294"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17406D" w:themeColor="text2"/>
      <w:sz w:val="28"/>
    </w:rPr>
  </w:style>
  <w:style w:type="character" w:customStyle="1" w:styleId="Heading6Char">
    <w:name w:val="Heading 6 Char"/>
    <w:basedOn w:val="DefaultParagraphFont"/>
    <w:link w:val="Heading6"/>
    <w:uiPriority w:val="9"/>
    <w:semiHidden/>
    <w:rsid w:val="00DC6079"/>
    <w:rPr>
      <w:rFonts w:cstheme="majorBidi"/>
      <w:color w:val="0B5294"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17406D"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0B5294" w:themeColor="accent1" w:themeShade="BF"/>
        <w:bottom w:val="single" w:sz="4" w:space="10" w:color="0B5294" w:themeColor="accent1" w:themeShade="BF"/>
      </w:pBdr>
      <w:spacing w:before="360" w:after="360"/>
    </w:pPr>
    <w:rPr>
      <w:i/>
      <w:iCs/>
      <w:color w:val="0B5294" w:themeColor="accent1" w:themeShade="BF"/>
    </w:rPr>
  </w:style>
  <w:style w:type="character" w:customStyle="1" w:styleId="IntenseQuoteChar">
    <w:name w:val="Intense Quote Char"/>
    <w:basedOn w:val="DefaultParagraphFont"/>
    <w:link w:val="IntenseQuote"/>
    <w:uiPriority w:val="30"/>
    <w:semiHidden/>
    <w:rPr>
      <w:i/>
      <w:iCs/>
      <w:color w:val="0B5294" w:themeColor="accent1" w:themeShade="BF"/>
    </w:rPr>
  </w:style>
  <w:style w:type="character" w:styleId="Hyperlink">
    <w:name w:val="Hyperlink"/>
    <w:basedOn w:val="DefaultParagraphFont"/>
    <w:uiPriority w:val="99"/>
    <w:unhideWhenUsed/>
    <w:rsid w:val="0070528B"/>
    <w:rPr>
      <w:color w:val="F49100" w:themeColor="hyperlink"/>
      <w:u w:val="single"/>
    </w:rPr>
  </w:style>
  <w:style w:type="character" w:styleId="UnresolvedMention">
    <w:name w:val="Unresolved Mention"/>
    <w:basedOn w:val="DefaultParagraphFont"/>
    <w:uiPriority w:val="99"/>
    <w:semiHidden/>
    <w:unhideWhenUsed/>
    <w:rsid w:val="0070528B"/>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efault">
    <w:name w:val="Default"/>
    <w:rsid w:val="00450163"/>
    <w:pPr>
      <w:autoSpaceDE w:val="0"/>
      <w:autoSpaceDN w:val="0"/>
      <w:adjustRightInd w:val="0"/>
      <w:spacing w:after="0" w:line="240" w:lineRule="auto"/>
    </w:pPr>
    <w:rPr>
      <w:rFonts w:ascii="Times New Roman" w:eastAsiaTheme="minorHAnsi" w:hAnsi="Times New Roman" w:cs="Times New Roman"/>
      <w:color w:val="000000"/>
      <w:lang w:eastAsia="en-US"/>
    </w:rPr>
  </w:style>
  <w:style w:type="character" w:customStyle="1" w:styleId="normaltextrun">
    <w:name w:val="normaltextrun"/>
    <w:basedOn w:val="DefaultParagraphFont"/>
    <w:rsid w:val="00A37E4E"/>
  </w:style>
  <w:style w:type="paragraph" w:customStyle="1" w:styleId="paragraph">
    <w:name w:val="paragraph"/>
    <w:basedOn w:val="Normal"/>
    <w:rsid w:val="00F141BA"/>
    <w:pPr>
      <w:spacing w:before="100" w:beforeAutospacing="1" w:after="100" w:afterAutospacing="1" w:line="240" w:lineRule="auto"/>
    </w:pPr>
    <w:rPr>
      <w:rFonts w:ascii="Times New Roman" w:eastAsiaTheme="minorHAnsi" w:hAnsi="Times New Roman" w:cs="Times New Roman"/>
      <w:lang w:eastAsia="en-US"/>
    </w:rPr>
  </w:style>
  <w:style w:type="character" w:customStyle="1" w:styleId="eop">
    <w:name w:val="eop"/>
    <w:basedOn w:val="DefaultParagraphFont"/>
    <w:rsid w:val="00F141BA"/>
  </w:style>
  <w:style w:type="paragraph" w:styleId="BalloonText">
    <w:name w:val="Balloon Text"/>
    <w:basedOn w:val="Normal"/>
    <w:link w:val="BalloonTextChar"/>
    <w:uiPriority w:val="99"/>
    <w:semiHidden/>
    <w:unhideWhenUsed/>
    <w:rsid w:val="0028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53159">
      <w:bodyDiv w:val="1"/>
      <w:marLeft w:val="0"/>
      <w:marRight w:val="0"/>
      <w:marTop w:val="0"/>
      <w:marBottom w:val="0"/>
      <w:divBdr>
        <w:top w:val="none" w:sz="0" w:space="0" w:color="auto"/>
        <w:left w:val="none" w:sz="0" w:space="0" w:color="auto"/>
        <w:bottom w:val="none" w:sz="0" w:space="0" w:color="auto"/>
        <w:right w:val="none" w:sz="0" w:space="0" w:color="auto"/>
      </w:divBdr>
    </w:div>
    <w:div w:id="1070495427">
      <w:bodyDiv w:val="1"/>
      <w:marLeft w:val="0"/>
      <w:marRight w:val="0"/>
      <w:marTop w:val="0"/>
      <w:marBottom w:val="0"/>
      <w:divBdr>
        <w:top w:val="none" w:sz="0" w:space="0" w:color="auto"/>
        <w:left w:val="none" w:sz="0" w:space="0" w:color="auto"/>
        <w:bottom w:val="none" w:sz="0" w:space="0" w:color="auto"/>
        <w:right w:val="none" w:sz="0" w:space="0" w:color="auto"/>
      </w:divBdr>
    </w:div>
    <w:div w:id="15163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anie.collingwood2@unitypoin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y.simmons@unitypoin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sa3\AppData\Roaming\Microsoft\Templates\Logo%20memo.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e2b37c-a0cd-46fb-b943-70004841be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3443125472249B408BAD76EC0DF22" ma:contentTypeVersion="8" ma:contentTypeDescription="Create a new document." ma:contentTypeScope="" ma:versionID="14b291c28693ab1d22ac811bf142489d">
  <xsd:schema xmlns:xsd="http://www.w3.org/2001/XMLSchema" xmlns:xs="http://www.w3.org/2001/XMLSchema" xmlns:p="http://schemas.microsoft.com/office/2006/metadata/properties" xmlns:ns3="4be2b37c-a0cd-46fb-b943-70004841bef7" xmlns:ns4="3ff930ed-175c-4313-874d-70d4ac82cccf" targetNamespace="http://schemas.microsoft.com/office/2006/metadata/properties" ma:root="true" ma:fieldsID="b9df0293f6467e34497f65fdaa03e7a0" ns3:_="" ns4:_="">
    <xsd:import namespace="4be2b37c-a0cd-46fb-b943-70004841bef7"/>
    <xsd:import namespace="3ff930ed-175c-4313-874d-70d4ac82c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2b37c-a0cd-46fb-b943-70004841b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930ed-175c-4313-874d-70d4ac82c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812C-F043-4161-95E2-C6E6BBA4A46D}">
  <ds:schemaRefs>
    <ds:schemaRef ds:uri="http://schemas.microsoft.com/sharepoint/v3/contenttype/forms"/>
  </ds:schemaRefs>
</ds:datastoreItem>
</file>

<file path=customXml/itemProps2.xml><?xml version="1.0" encoding="utf-8"?>
<ds:datastoreItem xmlns:ds="http://schemas.openxmlformats.org/officeDocument/2006/customXml" ds:itemID="{D526202A-CA0B-4282-801D-D032779C27CD}">
  <ds:schemaRefs>
    <ds:schemaRef ds:uri="http://schemas.microsoft.com/office/2006/metadata/properties"/>
    <ds:schemaRef ds:uri="http://schemas.microsoft.com/office/infopath/2007/PartnerControls"/>
    <ds:schemaRef ds:uri="4be2b37c-a0cd-46fb-b943-70004841bef7"/>
  </ds:schemaRefs>
</ds:datastoreItem>
</file>

<file path=customXml/itemProps3.xml><?xml version="1.0" encoding="utf-8"?>
<ds:datastoreItem xmlns:ds="http://schemas.openxmlformats.org/officeDocument/2006/customXml" ds:itemID="{8E0151C6-362C-466C-97F3-45828C1A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2b37c-a0cd-46fb-b943-70004841bef7"/>
    <ds:schemaRef ds:uri="3ff930ed-175c-4313-874d-70d4ac82c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6BC22-1E53-46A7-90C3-F858596D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memo</Template>
  <TotalTime>0</TotalTime>
  <Pages>4</Pages>
  <Words>1764</Words>
  <Characters>10059</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2021-01-27T14:14:00Z</dcterms:created>
  <dcterms:modified xsi:type="dcterms:W3CDTF">2021-01-27T18:25:00Z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0x0101001B43443125472249B408BAD76EC0DF22</vt:lpwstr>
  </property>
  <property fmtid="{D5CDD505-2E9C-101B-9397-08002B2CF9AE}" pid="3" name="MSIP_Label_b4e5d35f-4e6a-4642-aaeb-20ab6a7b6fba_Enabled">
    <vt:lpwstr>true</vt:lpwstr>
  </property>
  <property fmtid="{D5CDD505-2E9C-101B-9397-08002B2CF9AE}" pid="4" name="MSIP_Label_b4e5d35f-4e6a-4642-aaeb-20ab6a7b6fba_SetDate">
    <vt:lpwstr>2020-12-10T16:41:15Z</vt:lpwstr>
  </property>
  <property fmtid="{D5CDD505-2E9C-101B-9397-08002B2CF9AE}" pid="5" name="MSIP_Label_b4e5d35f-4e6a-4642-aaeb-20ab6a7b6fba_Method">
    <vt:lpwstr>Standard</vt:lpwstr>
  </property>
  <property fmtid="{D5CDD505-2E9C-101B-9397-08002B2CF9AE}" pid="6" name="MSIP_Label_b4e5d35f-4e6a-4642-aaeb-20ab6a7b6fba_Name">
    <vt:lpwstr>b4e5d35f-4e6a-4642-aaeb-20ab6a7b6fba</vt:lpwstr>
  </property>
  <property fmtid="{D5CDD505-2E9C-101B-9397-08002B2CF9AE}" pid="7" name="MSIP_Label_b4e5d35f-4e6a-4642-aaeb-20ab6a7b6fba_SiteId">
    <vt:lpwstr>ab214bcd-9b97-41bb-aa9d-46cf10d822fd</vt:lpwstr>
  </property>
  <property fmtid="{D5CDD505-2E9C-101B-9397-08002B2CF9AE}" pid="8" name="MSIP_Label_b4e5d35f-4e6a-4642-aaeb-20ab6a7b6fba_ActionId">
    <vt:lpwstr>4d08dc87-a71f-41d6-bc2b-0000f8c8a46b</vt:lpwstr>
  </property>
  <property fmtid="{D5CDD505-2E9C-101B-9397-08002B2CF9AE}" pid="9" name="MSIP_Label_b4e5d35f-4e6a-4642-aaeb-20ab6a7b6fba_ContentBits">
    <vt:lpwstr>0</vt:lpwstr>
  </property>
</Properties>
</file>